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2E2" w:rsidRDefault="00272A05" w:rsidP="00A27502">
      <w:pPr>
        <w:spacing w:after="0"/>
        <w:ind w:left="-284"/>
        <w:jc w:val="both"/>
        <w:rPr>
          <w:rFonts w:ascii="Arial" w:hAnsi="Arial" w:cs="Arial"/>
          <w:sz w:val="24"/>
          <w:szCs w:val="24"/>
        </w:rPr>
      </w:pPr>
      <w:r>
        <w:rPr>
          <w:rFonts w:ascii="Arial" w:hAnsi="Arial" w:cs="Arial"/>
          <w:sz w:val="24"/>
          <w:szCs w:val="24"/>
        </w:rPr>
        <w:t xml:space="preserve">         </w:t>
      </w:r>
      <w:r w:rsidR="006640A3" w:rsidRPr="00022F8F">
        <w:rPr>
          <w:rFonts w:ascii="Arial" w:hAnsi="Arial" w:cs="Arial"/>
          <w:sz w:val="24"/>
          <w:szCs w:val="24"/>
        </w:rPr>
        <w:t xml:space="preserve">         </w:t>
      </w:r>
    </w:p>
    <w:p w:rsidR="00F4489D" w:rsidRPr="00022F8F" w:rsidRDefault="00B20B3A" w:rsidP="00B822E2">
      <w:pPr>
        <w:spacing w:after="0"/>
        <w:jc w:val="center"/>
        <w:rPr>
          <w:rFonts w:ascii="Arial" w:hAnsi="Arial" w:cs="Arial"/>
          <w:b/>
          <w:sz w:val="24"/>
          <w:szCs w:val="24"/>
          <w:u w:val="single"/>
        </w:rPr>
      </w:pPr>
      <w:r w:rsidRPr="00022F8F">
        <w:rPr>
          <w:rFonts w:ascii="Arial" w:hAnsi="Arial" w:cs="Arial"/>
          <w:b/>
          <w:sz w:val="24"/>
          <w:szCs w:val="24"/>
          <w:u w:val="single"/>
        </w:rPr>
        <w:t>Ata da Reunião Ordinária</w:t>
      </w:r>
      <w:r w:rsidR="004714BB" w:rsidRPr="00022F8F">
        <w:rPr>
          <w:rFonts w:ascii="Arial" w:hAnsi="Arial" w:cs="Arial"/>
          <w:b/>
          <w:sz w:val="24"/>
          <w:szCs w:val="24"/>
          <w:u w:val="single"/>
        </w:rPr>
        <w:t xml:space="preserve"> do Comitê de Investimentos do </w:t>
      </w:r>
      <w:r w:rsidRPr="00022F8F">
        <w:rPr>
          <w:rFonts w:ascii="Arial" w:hAnsi="Arial" w:cs="Arial"/>
          <w:b/>
          <w:sz w:val="24"/>
          <w:szCs w:val="24"/>
          <w:u w:val="single"/>
        </w:rPr>
        <w:t>Muriaé-Prev</w:t>
      </w:r>
      <w:r w:rsidR="00DF23A8">
        <w:rPr>
          <w:rFonts w:ascii="Arial" w:hAnsi="Arial" w:cs="Arial"/>
          <w:b/>
          <w:sz w:val="24"/>
          <w:szCs w:val="24"/>
          <w:u w:val="single"/>
        </w:rPr>
        <w:t xml:space="preserve"> (</w:t>
      </w:r>
      <w:r w:rsidR="00D17BF0">
        <w:rPr>
          <w:rFonts w:ascii="Arial" w:hAnsi="Arial" w:cs="Arial"/>
          <w:b/>
          <w:sz w:val="24"/>
          <w:szCs w:val="24"/>
          <w:u w:val="single"/>
        </w:rPr>
        <w:t>16</w:t>
      </w:r>
      <w:r w:rsidR="00820392">
        <w:rPr>
          <w:rFonts w:ascii="Arial" w:hAnsi="Arial" w:cs="Arial"/>
          <w:b/>
          <w:sz w:val="24"/>
          <w:szCs w:val="24"/>
          <w:u w:val="single"/>
        </w:rPr>
        <w:t>/</w:t>
      </w:r>
      <w:r w:rsidR="00D17BF0">
        <w:rPr>
          <w:rFonts w:ascii="Arial" w:hAnsi="Arial" w:cs="Arial"/>
          <w:b/>
          <w:sz w:val="24"/>
          <w:szCs w:val="24"/>
          <w:u w:val="single"/>
        </w:rPr>
        <w:t>11</w:t>
      </w:r>
      <w:r w:rsidR="00CE6A38">
        <w:rPr>
          <w:rFonts w:ascii="Arial" w:hAnsi="Arial" w:cs="Arial"/>
          <w:b/>
          <w:sz w:val="24"/>
          <w:szCs w:val="24"/>
          <w:u w:val="single"/>
        </w:rPr>
        <w:t>/20</w:t>
      </w:r>
      <w:r w:rsidR="00517164">
        <w:rPr>
          <w:rFonts w:ascii="Arial" w:hAnsi="Arial" w:cs="Arial"/>
          <w:b/>
          <w:sz w:val="24"/>
          <w:szCs w:val="24"/>
          <w:u w:val="single"/>
        </w:rPr>
        <w:t>21</w:t>
      </w:r>
      <w:r w:rsidRPr="00022F8F">
        <w:rPr>
          <w:rFonts w:ascii="Arial" w:hAnsi="Arial" w:cs="Arial"/>
          <w:b/>
          <w:sz w:val="24"/>
          <w:szCs w:val="24"/>
          <w:u w:val="single"/>
        </w:rPr>
        <w:t>)</w:t>
      </w:r>
      <w:r w:rsidR="00060984">
        <w:rPr>
          <w:rFonts w:ascii="Arial" w:hAnsi="Arial" w:cs="Arial"/>
          <w:b/>
          <w:sz w:val="24"/>
          <w:szCs w:val="24"/>
          <w:u w:val="single"/>
        </w:rPr>
        <w:t>.</w:t>
      </w:r>
    </w:p>
    <w:p w:rsidR="008854AC" w:rsidRPr="00611C8B" w:rsidRDefault="00FF542F" w:rsidP="00D17BF0">
      <w:pPr>
        <w:autoSpaceDE w:val="0"/>
        <w:autoSpaceDN w:val="0"/>
        <w:adjustRightInd w:val="0"/>
        <w:spacing w:after="0" w:line="240" w:lineRule="auto"/>
        <w:jc w:val="both"/>
        <w:rPr>
          <w:rFonts w:ascii="Bookman Old Style" w:hAnsi="Bookman Old Style" w:cs="BookmanOldStyle"/>
          <w:sz w:val="24"/>
          <w:szCs w:val="24"/>
        </w:rPr>
      </w:pPr>
      <w:r w:rsidRPr="00441FA5">
        <w:rPr>
          <w:rFonts w:ascii="Bookman Old Style" w:hAnsi="Bookman Old Style" w:cs="Arial"/>
          <w:sz w:val="24"/>
          <w:szCs w:val="24"/>
        </w:rPr>
        <w:t>Ao</w:t>
      </w:r>
      <w:r w:rsidR="00E2294C">
        <w:rPr>
          <w:rFonts w:ascii="Bookman Old Style" w:hAnsi="Bookman Old Style" w:cs="Arial"/>
          <w:sz w:val="24"/>
          <w:szCs w:val="24"/>
        </w:rPr>
        <w:t xml:space="preserve">s </w:t>
      </w:r>
      <w:r w:rsidR="00D17BF0">
        <w:rPr>
          <w:rFonts w:ascii="Bookman Old Style" w:hAnsi="Bookman Old Style" w:cs="Arial"/>
          <w:sz w:val="24"/>
          <w:szCs w:val="24"/>
        </w:rPr>
        <w:t>dezesseis dias do mês de novembro</w:t>
      </w:r>
      <w:r w:rsidR="00A73676" w:rsidRPr="00441FA5">
        <w:rPr>
          <w:rFonts w:ascii="Bookman Old Style" w:hAnsi="Bookman Old Style" w:cs="Arial"/>
          <w:sz w:val="24"/>
          <w:szCs w:val="24"/>
        </w:rPr>
        <w:t xml:space="preserve"> de 20</w:t>
      </w:r>
      <w:r w:rsidR="00517164" w:rsidRPr="00441FA5">
        <w:rPr>
          <w:rFonts w:ascii="Bookman Old Style" w:hAnsi="Bookman Old Style" w:cs="Arial"/>
          <w:sz w:val="24"/>
          <w:szCs w:val="24"/>
        </w:rPr>
        <w:t>21</w:t>
      </w:r>
      <w:r w:rsidR="00E2294C">
        <w:rPr>
          <w:rFonts w:ascii="Bookman Old Style" w:hAnsi="Bookman Old Style" w:cs="Arial"/>
          <w:sz w:val="24"/>
          <w:szCs w:val="24"/>
        </w:rPr>
        <w:t>, às nove</w:t>
      </w:r>
      <w:r w:rsidR="00983C28" w:rsidRPr="00441FA5">
        <w:rPr>
          <w:rFonts w:ascii="Bookman Old Style" w:hAnsi="Bookman Old Style" w:cs="Arial"/>
          <w:sz w:val="24"/>
          <w:szCs w:val="24"/>
        </w:rPr>
        <w:t xml:space="preserve"> horas e zero minutos</w:t>
      </w:r>
      <w:r w:rsidR="00D17BF0">
        <w:rPr>
          <w:rFonts w:ascii="Bookman Old Style" w:hAnsi="Bookman Old Style" w:cs="Arial"/>
          <w:sz w:val="24"/>
          <w:szCs w:val="24"/>
        </w:rPr>
        <w:t xml:space="preserve">, </w:t>
      </w:r>
      <w:r w:rsidR="00B20B3A" w:rsidRPr="00441FA5">
        <w:rPr>
          <w:rFonts w:ascii="Bookman Old Style" w:hAnsi="Bookman Old Style" w:cs="Arial"/>
          <w:sz w:val="24"/>
          <w:szCs w:val="24"/>
        </w:rPr>
        <w:t xml:space="preserve">reuniram-se os membros </w:t>
      </w:r>
      <w:r w:rsidR="007B3FAD" w:rsidRPr="00441FA5">
        <w:rPr>
          <w:rFonts w:ascii="Bookman Old Style" w:hAnsi="Bookman Old Style" w:cs="Arial"/>
          <w:sz w:val="24"/>
          <w:szCs w:val="24"/>
        </w:rPr>
        <w:t>efetivos e suplentes do Comitê de I</w:t>
      </w:r>
      <w:r w:rsidR="00B20B3A" w:rsidRPr="00441FA5">
        <w:rPr>
          <w:rFonts w:ascii="Bookman Old Style" w:hAnsi="Bookman Old Style" w:cs="Arial"/>
          <w:sz w:val="24"/>
          <w:szCs w:val="24"/>
        </w:rPr>
        <w:t xml:space="preserve">nvestimentos. </w:t>
      </w:r>
      <w:r w:rsidR="00C11777">
        <w:rPr>
          <w:rFonts w:ascii="Bookman Old Style" w:hAnsi="Bookman Old Style" w:cs="Arial"/>
          <w:sz w:val="24"/>
          <w:szCs w:val="24"/>
        </w:rPr>
        <w:t>F</w:t>
      </w:r>
      <w:r w:rsidR="00C11777" w:rsidRPr="00C11777">
        <w:rPr>
          <w:rFonts w:ascii="Bookman Old Style" w:hAnsi="Bookman Old Style" w:cs="Arial"/>
          <w:sz w:val="24"/>
          <w:szCs w:val="24"/>
        </w:rPr>
        <w:t>oi verificado o quórum de participação nessa reunião</w:t>
      </w:r>
      <w:r w:rsidR="00B20B3A" w:rsidRPr="00C11777">
        <w:rPr>
          <w:rFonts w:ascii="Bookman Old Style" w:hAnsi="Bookman Old Style" w:cs="Arial"/>
          <w:sz w:val="24"/>
          <w:szCs w:val="24"/>
        </w:rPr>
        <w:t xml:space="preserve"> </w:t>
      </w:r>
      <w:r w:rsidR="00B20B3A" w:rsidRPr="00441FA5">
        <w:rPr>
          <w:rFonts w:ascii="Bookman Old Style" w:hAnsi="Bookman Old Style" w:cs="Arial"/>
          <w:sz w:val="24"/>
          <w:szCs w:val="24"/>
        </w:rPr>
        <w:t>dos membros:</w:t>
      </w:r>
      <w:bookmarkStart w:id="0" w:name="_Hlk25057824"/>
      <w:r w:rsidR="00517164" w:rsidRPr="00441FA5">
        <w:rPr>
          <w:rFonts w:ascii="Bookman Old Style" w:hAnsi="Bookman Old Style" w:cs="Arial"/>
          <w:sz w:val="24"/>
          <w:szCs w:val="24"/>
        </w:rPr>
        <w:t xml:space="preserve"> Alessandro Rodrigues Campos (membro nato)</w:t>
      </w:r>
      <w:r w:rsidR="00C11777">
        <w:rPr>
          <w:rFonts w:ascii="Bookman Old Style" w:hAnsi="Bookman Old Style" w:cs="Arial"/>
          <w:sz w:val="24"/>
          <w:szCs w:val="24"/>
        </w:rPr>
        <w:t xml:space="preserve"> - presente</w:t>
      </w:r>
      <w:r w:rsidR="00517164" w:rsidRPr="00441FA5">
        <w:rPr>
          <w:rFonts w:ascii="Bookman Old Style" w:hAnsi="Bookman Old Style" w:cs="Arial"/>
          <w:sz w:val="24"/>
          <w:szCs w:val="24"/>
        </w:rPr>
        <w:t>,</w:t>
      </w:r>
      <w:r w:rsidR="006F5F57" w:rsidRPr="00441FA5">
        <w:rPr>
          <w:rFonts w:ascii="Bookman Old Style" w:hAnsi="Bookman Old Style" w:cs="Arial"/>
          <w:sz w:val="24"/>
          <w:szCs w:val="24"/>
        </w:rPr>
        <w:t xml:space="preserve"> Stelamaris Schuenck Barbosa Resende (membro nato)</w:t>
      </w:r>
      <w:r w:rsidR="00C11777">
        <w:rPr>
          <w:rFonts w:ascii="Bookman Old Style" w:hAnsi="Bookman Old Style" w:cs="Arial"/>
          <w:sz w:val="24"/>
          <w:szCs w:val="24"/>
        </w:rPr>
        <w:t xml:space="preserve"> - presente</w:t>
      </w:r>
      <w:r w:rsidR="006F5F57" w:rsidRPr="00441FA5">
        <w:rPr>
          <w:rFonts w:ascii="Bookman Old Style" w:hAnsi="Bookman Old Style" w:cs="Arial"/>
          <w:sz w:val="24"/>
          <w:szCs w:val="24"/>
        </w:rPr>
        <w:t>,</w:t>
      </w:r>
      <w:r w:rsidR="00983694" w:rsidRPr="00441FA5">
        <w:rPr>
          <w:rFonts w:ascii="Bookman Old Style" w:hAnsi="Bookman Old Style" w:cs="Arial"/>
          <w:sz w:val="24"/>
          <w:szCs w:val="24"/>
        </w:rPr>
        <w:t xml:space="preserve"> Antônio José Pereira de Oliveira (membro efetivo)</w:t>
      </w:r>
      <w:r w:rsidR="00C11777">
        <w:rPr>
          <w:rFonts w:ascii="Bookman Old Style" w:hAnsi="Bookman Old Style" w:cs="Arial"/>
          <w:sz w:val="24"/>
          <w:szCs w:val="24"/>
        </w:rPr>
        <w:t xml:space="preserve"> - presente</w:t>
      </w:r>
      <w:r w:rsidR="006F5F57" w:rsidRPr="00441FA5">
        <w:rPr>
          <w:rFonts w:ascii="Bookman Old Style" w:hAnsi="Bookman Old Style" w:cs="Arial"/>
          <w:sz w:val="24"/>
          <w:szCs w:val="24"/>
        </w:rPr>
        <w:t xml:space="preserve">, </w:t>
      </w:r>
      <w:r w:rsidR="00517164" w:rsidRPr="00441FA5">
        <w:rPr>
          <w:rFonts w:ascii="Bookman Old Style" w:hAnsi="Bookman Old Style" w:cs="Arial"/>
          <w:sz w:val="24"/>
          <w:szCs w:val="24"/>
        </w:rPr>
        <w:t>Víctor Cavalari Vieira Oliveira (membro efetiv</w:t>
      </w:r>
      <w:r w:rsidR="00BD4F5E" w:rsidRPr="00441FA5">
        <w:rPr>
          <w:rFonts w:ascii="Bookman Old Style" w:hAnsi="Bookman Old Style" w:cs="Arial"/>
          <w:sz w:val="24"/>
          <w:szCs w:val="24"/>
        </w:rPr>
        <w:t>o</w:t>
      </w:r>
      <w:r w:rsidR="00080BC0" w:rsidRPr="00441FA5">
        <w:rPr>
          <w:rFonts w:ascii="Bookman Old Style" w:hAnsi="Bookman Old Style" w:cs="Arial"/>
          <w:sz w:val="24"/>
          <w:szCs w:val="24"/>
        </w:rPr>
        <w:t>)</w:t>
      </w:r>
      <w:r w:rsidR="00C11777">
        <w:rPr>
          <w:rFonts w:ascii="Bookman Old Style" w:hAnsi="Bookman Old Style" w:cs="Arial"/>
          <w:sz w:val="24"/>
          <w:szCs w:val="24"/>
        </w:rPr>
        <w:t xml:space="preserve"> - presente</w:t>
      </w:r>
      <w:r w:rsidR="00BD4F5E" w:rsidRPr="00441FA5">
        <w:rPr>
          <w:rFonts w:ascii="Bookman Old Style" w:hAnsi="Bookman Old Style" w:cs="Arial"/>
          <w:sz w:val="24"/>
          <w:szCs w:val="24"/>
        </w:rPr>
        <w:t xml:space="preserve">, </w:t>
      </w:r>
      <w:r w:rsidR="006F5F57" w:rsidRPr="00441FA5">
        <w:rPr>
          <w:rFonts w:ascii="Bookman Old Style" w:hAnsi="Bookman Old Style" w:cs="Arial"/>
          <w:sz w:val="24"/>
          <w:szCs w:val="24"/>
        </w:rPr>
        <w:t>Pedro Alves Vieira Júnior</w:t>
      </w:r>
      <w:r w:rsidR="00983694" w:rsidRPr="00441FA5">
        <w:rPr>
          <w:rFonts w:ascii="Bookman Old Style" w:hAnsi="Bookman Old Style" w:cs="Arial"/>
          <w:sz w:val="24"/>
          <w:szCs w:val="24"/>
        </w:rPr>
        <w:t xml:space="preserve"> (membro efetivo)</w:t>
      </w:r>
      <w:r w:rsidR="00C11777">
        <w:rPr>
          <w:rFonts w:ascii="Bookman Old Style" w:hAnsi="Bookman Old Style" w:cs="Arial"/>
          <w:sz w:val="24"/>
          <w:szCs w:val="24"/>
        </w:rPr>
        <w:t xml:space="preserve"> - ausente</w:t>
      </w:r>
      <w:r w:rsidR="008B14D3" w:rsidRPr="00441FA5">
        <w:rPr>
          <w:rFonts w:ascii="Bookman Old Style" w:hAnsi="Bookman Old Style" w:cs="Arial"/>
          <w:sz w:val="24"/>
          <w:szCs w:val="24"/>
        </w:rPr>
        <w:t>,</w:t>
      </w:r>
      <w:r w:rsidR="00EF6C61" w:rsidRPr="00441FA5">
        <w:rPr>
          <w:rFonts w:ascii="Bookman Old Style" w:hAnsi="Bookman Old Style" w:cs="Arial"/>
          <w:sz w:val="24"/>
          <w:szCs w:val="24"/>
        </w:rPr>
        <w:t xml:space="preserve"> </w:t>
      </w:r>
      <w:bookmarkEnd w:id="0"/>
      <w:r w:rsidR="006F5F57" w:rsidRPr="00441FA5">
        <w:rPr>
          <w:rFonts w:ascii="Bookman Old Style" w:hAnsi="Bookman Old Style" w:cs="Arial"/>
          <w:sz w:val="24"/>
          <w:szCs w:val="24"/>
        </w:rPr>
        <w:t>Gilmar L</w:t>
      </w:r>
      <w:r w:rsidR="00EF6C61" w:rsidRPr="00441FA5">
        <w:rPr>
          <w:rFonts w:ascii="Bookman Old Style" w:hAnsi="Bookman Old Style" w:cs="Arial"/>
          <w:sz w:val="24"/>
          <w:szCs w:val="24"/>
        </w:rPr>
        <w:t>o</w:t>
      </w:r>
      <w:r w:rsidR="00441FA5" w:rsidRPr="00441FA5">
        <w:rPr>
          <w:rFonts w:ascii="Bookman Old Style" w:hAnsi="Bookman Old Style" w:cs="Arial"/>
          <w:sz w:val="24"/>
          <w:szCs w:val="24"/>
        </w:rPr>
        <w:t>pes de Faria (membro suplente)</w:t>
      </w:r>
      <w:r w:rsidR="00C11777">
        <w:rPr>
          <w:rFonts w:ascii="Bookman Old Style" w:hAnsi="Bookman Old Style" w:cs="Arial"/>
          <w:sz w:val="24"/>
          <w:szCs w:val="24"/>
        </w:rPr>
        <w:t xml:space="preserve"> – ausente, </w:t>
      </w:r>
      <w:r w:rsidR="00983694" w:rsidRPr="00441FA5">
        <w:rPr>
          <w:rFonts w:ascii="Bookman Old Style" w:hAnsi="Bookman Old Style" w:cs="Arial"/>
          <w:sz w:val="24"/>
          <w:szCs w:val="24"/>
        </w:rPr>
        <w:t>Renata Ramos de Lacerda (membro suplente)</w:t>
      </w:r>
      <w:r w:rsidR="00C11777">
        <w:rPr>
          <w:rFonts w:ascii="Bookman Old Style" w:hAnsi="Bookman Old Style" w:cs="Arial"/>
          <w:sz w:val="24"/>
          <w:szCs w:val="24"/>
        </w:rPr>
        <w:t xml:space="preserve"> - presente</w:t>
      </w:r>
      <w:r w:rsidR="00697BA3" w:rsidRPr="00441FA5">
        <w:rPr>
          <w:rFonts w:ascii="Bookman Old Style" w:hAnsi="Bookman Old Style" w:cs="Arial"/>
          <w:sz w:val="24"/>
          <w:szCs w:val="24"/>
        </w:rPr>
        <w:t xml:space="preserve">. </w:t>
      </w:r>
      <w:r w:rsidR="00E438E3" w:rsidRPr="00441FA5">
        <w:rPr>
          <w:rFonts w:ascii="Bookman Old Style" w:hAnsi="Bookman Old Style" w:cs="Arial"/>
          <w:sz w:val="24"/>
          <w:szCs w:val="24"/>
        </w:rPr>
        <w:t>Foram h</w:t>
      </w:r>
      <w:r w:rsidR="001A0AFE" w:rsidRPr="00441FA5">
        <w:rPr>
          <w:rFonts w:ascii="Bookman Old Style" w:hAnsi="Bookman Old Style" w:cs="Arial"/>
          <w:sz w:val="24"/>
          <w:szCs w:val="24"/>
        </w:rPr>
        <w:t xml:space="preserve">abilitados para voto: </w:t>
      </w:r>
      <w:r w:rsidR="006F5F57" w:rsidRPr="00441FA5">
        <w:rPr>
          <w:rFonts w:ascii="Bookman Old Style" w:hAnsi="Bookman Old Style" w:cs="Arial"/>
          <w:sz w:val="24"/>
          <w:szCs w:val="24"/>
        </w:rPr>
        <w:t xml:space="preserve">Alessandro Rodrigues Campos (membro nato), Stelamaris Schuenck Barbosa Resende (membro nato), Antônio José Pereira de Oliveira (membro efetivo), Víctor Cavalari Vieira Oliveira (membro efetivo) e </w:t>
      </w:r>
      <w:r w:rsidR="00D17BF0" w:rsidRPr="00441FA5">
        <w:rPr>
          <w:rFonts w:ascii="Bookman Old Style" w:hAnsi="Bookman Old Style" w:cs="Arial"/>
          <w:sz w:val="24"/>
          <w:szCs w:val="24"/>
        </w:rPr>
        <w:t>Renata Ramos de Lacerda (membro suplente)</w:t>
      </w:r>
      <w:r w:rsidR="001A0AFE" w:rsidRPr="00441FA5">
        <w:rPr>
          <w:rFonts w:ascii="Bookman Old Style" w:hAnsi="Bookman Old Style" w:cs="Arial"/>
          <w:sz w:val="24"/>
          <w:szCs w:val="24"/>
        </w:rPr>
        <w:t xml:space="preserve">. </w:t>
      </w:r>
      <w:r w:rsidR="00B20B3A" w:rsidRPr="00441FA5">
        <w:rPr>
          <w:rFonts w:ascii="Bookman Old Style" w:hAnsi="Bookman Old Style" w:cs="Arial"/>
          <w:sz w:val="24"/>
          <w:szCs w:val="24"/>
        </w:rPr>
        <w:t>Após a verificação de quórum com a maioria dos membros</w:t>
      </w:r>
      <w:r w:rsidR="00DD6B7F" w:rsidRPr="00441FA5">
        <w:rPr>
          <w:rFonts w:ascii="Bookman Old Style" w:hAnsi="Bookman Old Style" w:cs="Arial"/>
          <w:sz w:val="24"/>
          <w:szCs w:val="24"/>
        </w:rPr>
        <w:t xml:space="preserve"> e aprovação por unanimidade dos votos presentes</w:t>
      </w:r>
      <w:r w:rsidR="00B20B3A" w:rsidRPr="00441FA5">
        <w:rPr>
          <w:rFonts w:ascii="Bookman Old Style" w:hAnsi="Bookman Old Style" w:cs="Arial"/>
          <w:sz w:val="24"/>
          <w:szCs w:val="24"/>
        </w:rPr>
        <w:t>,</w:t>
      </w:r>
      <w:r w:rsidR="00333333" w:rsidRPr="00441FA5">
        <w:rPr>
          <w:rFonts w:ascii="Bookman Old Style" w:hAnsi="Bookman Old Style" w:cs="Arial"/>
          <w:sz w:val="24"/>
          <w:szCs w:val="24"/>
        </w:rPr>
        <w:t xml:space="preserve"> f</w:t>
      </w:r>
      <w:r w:rsidR="00B20B3A" w:rsidRPr="00441FA5">
        <w:rPr>
          <w:rFonts w:ascii="Bookman Old Style" w:hAnsi="Bookman Old Style" w:cs="Arial"/>
          <w:sz w:val="24"/>
          <w:szCs w:val="24"/>
        </w:rPr>
        <w:t xml:space="preserve">oi instalada a sessão pelo </w:t>
      </w:r>
      <w:r w:rsidR="007B3FAD" w:rsidRPr="00441FA5">
        <w:rPr>
          <w:rFonts w:ascii="Bookman Old Style" w:hAnsi="Bookman Old Style" w:cs="Arial"/>
          <w:sz w:val="24"/>
          <w:szCs w:val="24"/>
        </w:rPr>
        <w:t>Sr. Pre</w:t>
      </w:r>
      <w:r w:rsidR="00F66EB8" w:rsidRPr="00441FA5">
        <w:rPr>
          <w:rFonts w:ascii="Bookman Old Style" w:hAnsi="Bookman Old Style" w:cs="Arial"/>
          <w:sz w:val="24"/>
          <w:szCs w:val="24"/>
        </w:rPr>
        <w:t>sidente do</w:t>
      </w:r>
      <w:r w:rsidR="00504042" w:rsidRPr="00441FA5">
        <w:rPr>
          <w:rFonts w:ascii="Bookman Old Style" w:hAnsi="Bookman Old Style" w:cs="Arial"/>
          <w:sz w:val="24"/>
          <w:szCs w:val="24"/>
        </w:rPr>
        <w:t xml:space="preserve"> Comitê de Investimentos do</w:t>
      </w:r>
      <w:r w:rsidR="00F66EB8" w:rsidRPr="00441FA5">
        <w:rPr>
          <w:rFonts w:ascii="Bookman Old Style" w:hAnsi="Bookman Old Style" w:cs="Arial"/>
          <w:sz w:val="24"/>
          <w:szCs w:val="24"/>
        </w:rPr>
        <w:t xml:space="preserve"> </w:t>
      </w:r>
      <w:r w:rsidR="00267177" w:rsidRPr="00441FA5">
        <w:rPr>
          <w:rFonts w:ascii="Bookman Old Style" w:hAnsi="Bookman Old Style" w:cs="Arial"/>
          <w:sz w:val="24"/>
          <w:szCs w:val="24"/>
        </w:rPr>
        <w:t xml:space="preserve">Muriaé-Prev </w:t>
      </w:r>
      <w:r w:rsidR="00504042" w:rsidRPr="00441FA5">
        <w:rPr>
          <w:rFonts w:ascii="Bookman Old Style" w:hAnsi="Bookman Old Style" w:cs="Arial"/>
          <w:sz w:val="24"/>
          <w:szCs w:val="24"/>
        </w:rPr>
        <w:t xml:space="preserve">que </w:t>
      </w:r>
      <w:r w:rsidR="00D17915" w:rsidRPr="00441FA5">
        <w:rPr>
          <w:rFonts w:ascii="Bookman Old Style" w:hAnsi="Bookman Old Style" w:cs="Arial"/>
          <w:sz w:val="24"/>
          <w:szCs w:val="24"/>
        </w:rPr>
        <w:t>apresentou aos membros</w:t>
      </w:r>
      <w:r w:rsidR="00B20B3A" w:rsidRPr="00441FA5">
        <w:rPr>
          <w:rFonts w:ascii="Bookman Old Style" w:hAnsi="Bookman Old Style" w:cs="Arial"/>
          <w:sz w:val="24"/>
          <w:szCs w:val="24"/>
        </w:rPr>
        <w:t xml:space="preserve"> a posição e leitura sobre o cenário econômico atual n</w:t>
      </w:r>
      <w:r w:rsidR="007B3FAD" w:rsidRPr="00441FA5">
        <w:rPr>
          <w:rFonts w:ascii="Bookman Old Style" w:hAnsi="Bookman Old Style" w:cs="Arial"/>
          <w:sz w:val="24"/>
          <w:szCs w:val="24"/>
        </w:rPr>
        <w:t xml:space="preserve">a visão do consultor </w:t>
      </w:r>
      <w:r w:rsidR="00EC7B06" w:rsidRPr="00441FA5">
        <w:rPr>
          <w:rFonts w:ascii="Bookman Old Style" w:hAnsi="Bookman Old Style" w:cs="Arial"/>
          <w:sz w:val="24"/>
          <w:szCs w:val="24"/>
        </w:rPr>
        <w:t>financeiro em investimentos</w:t>
      </w:r>
      <w:r w:rsidR="00F9407C" w:rsidRPr="00441FA5">
        <w:rPr>
          <w:rFonts w:ascii="Bookman Old Style" w:hAnsi="Bookman Old Style" w:cs="Arial"/>
          <w:sz w:val="24"/>
          <w:szCs w:val="24"/>
        </w:rPr>
        <w:t xml:space="preserve"> do Muriaé-Prev,</w:t>
      </w:r>
      <w:r w:rsidR="007B3FAD" w:rsidRPr="00441FA5">
        <w:rPr>
          <w:rFonts w:ascii="Bookman Old Style" w:hAnsi="Bookman Old Style" w:cs="Arial"/>
          <w:sz w:val="24"/>
          <w:szCs w:val="24"/>
        </w:rPr>
        <w:t xml:space="preserve"> S</w:t>
      </w:r>
      <w:r w:rsidR="00B20B3A" w:rsidRPr="00441FA5">
        <w:rPr>
          <w:rFonts w:ascii="Bookman Old Style" w:hAnsi="Bookman Old Style" w:cs="Arial"/>
          <w:sz w:val="24"/>
          <w:szCs w:val="24"/>
        </w:rPr>
        <w:t>r. Paulo</w:t>
      </w:r>
      <w:r w:rsidR="00EC7B06" w:rsidRPr="00441FA5">
        <w:rPr>
          <w:rFonts w:ascii="Bookman Old Style" w:hAnsi="Bookman Old Style" w:cs="Arial"/>
          <w:sz w:val="24"/>
          <w:szCs w:val="24"/>
        </w:rPr>
        <w:t xml:space="preserve"> di Blasi</w:t>
      </w:r>
      <w:r w:rsidR="003A5D4E" w:rsidRPr="00441FA5">
        <w:rPr>
          <w:rFonts w:ascii="Bookman Old Style" w:hAnsi="Bookman Old Style" w:cs="Arial"/>
          <w:sz w:val="24"/>
          <w:szCs w:val="24"/>
        </w:rPr>
        <w:t xml:space="preserve">, </w:t>
      </w:r>
      <w:r w:rsidR="00477EE9" w:rsidRPr="00441FA5">
        <w:rPr>
          <w:rFonts w:ascii="Bookman Old Style" w:hAnsi="Bookman Old Style" w:cs="Arial"/>
          <w:sz w:val="24"/>
          <w:szCs w:val="24"/>
        </w:rPr>
        <w:t>q</w:t>
      </w:r>
      <w:r w:rsidR="002F7403" w:rsidRPr="00441FA5">
        <w:rPr>
          <w:rFonts w:ascii="Bookman Old Style" w:hAnsi="Bookman Old Style" w:cs="Arial"/>
          <w:sz w:val="24"/>
          <w:szCs w:val="24"/>
        </w:rPr>
        <w:t>ue</w:t>
      </w:r>
      <w:r w:rsidR="00AE20D6" w:rsidRPr="00441FA5">
        <w:rPr>
          <w:rFonts w:ascii="Bookman Old Style" w:hAnsi="Bookman Old Style" w:cs="Arial"/>
          <w:sz w:val="24"/>
          <w:szCs w:val="24"/>
        </w:rPr>
        <w:t xml:space="preserve"> </w:t>
      </w:r>
      <w:r w:rsidR="00EA744B" w:rsidRPr="00441FA5">
        <w:rPr>
          <w:rFonts w:ascii="Bookman Old Style" w:hAnsi="Bookman Old Style" w:cs="Arial"/>
          <w:sz w:val="24"/>
          <w:szCs w:val="24"/>
        </w:rPr>
        <w:t>r</w:t>
      </w:r>
      <w:r w:rsidR="00D17BF0">
        <w:rPr>
          <w:rFonts w:ascii="Bookman Old Style" w:hAnsi="Bookman Old Style" w:cs="Arial"/>
          <w:sz w:val="24"/>
          <w:szCs w:val="24"/>
        </w:rPr>
        <w:t>ecomenda para o mês de novembro</w:t>
      </w:r>
      <w:r w:rsidR="00517164" w:rsidRPr="00441FA5">
        <w:rPr>
          <w:rFonts w:ascii="Bookman Old Style" w:hAnsi="Bookman Old Style" w:cs="Arial"/>
          <w:sz w:val="24"/>
          <w:szCs w:val="24"/>
        </w:rPr>
        <w:t xml:space="preserve"> de 2021</w:t>
      </w:r>
      <w:r w:rsidR="00795FC5" w:rsidRPr="00441FA5">
        <w:rPr>
          <w:rFonts w:ascii="Bookman Old Style" w:hAnsi="Bookman Old Style" w:cs="Arial"/>
          <w:sz w:val="24"/>
          <w:szCs w:val="24"/>
        </w:rPr>
        <w:t>,</w:t>
      </w:r>
      <w:r w:rsidR="00EF5C45" w:rsidRPr="00441FA5">
        <w:rPr>
          <w:rFonts w:ascii="Bookman Old Style" w:hAnsi="Bookman Old Style" w:cs="Arial"/>
          <w:sz w:val="24"/>
          <w:szCs w:val="24"/>
        </w:rPr>
        <w:t xml:space="preserve"> </w:t>
      </w:r>
      <w:r w:rsidR="00BD4F5E" w:rsidRPr="00441FA5">
        <w:rPr>
          <w:rFonts w:ascii="Bookman Old Style" w:hAnsi="Bookman Old Style" w:cs="Arial"/>
          <w:sz w:val="24"/>
          <w:szCs w:val="24"/>
        </w:rPr>
        <w:t xml:space="preserve"> </w:t>
      </w:r>
      <w:r w:rsidR="008B14D3" w:rsidRPr="00441FA5">
        <w:rPr>
          <w:rFonts w:ascii="Bookman Old Style" w:hAnsi="Bookman Old Style" w:cs="Arial"/>
          <w:sz w:val="24"/>
          <w:szCs w:val="24"/>
        </w:rPr>
        <w:t xml:space="preserve">a </w:t>
      </w:r>
      <w:r w:rsidR="00441FA5" w:rsidRPr="00441FA5">
        <w:rPr>
          <w:rFonts w:ascii="Bookman Old Style" w:hAnsi="Bookman Old Style" w:cs="Arial"/>
          <w:sz w:val="24"/>
          <w:szCs w:val="24"/>
        </w:rPr>
        <w:t xml:space="preserve">manutenção da </w:t>
      </w:r>
      <w:r w:rsidR="00697BA3" w:rsidRPr="00441FA5">
        <w:rPr>
          <w:rFonts w:ascii="Bookman Old Style" w:hAnsi="Bookman Old Style" w:cs="Arial"/>
          <w:sz w:val="24"/>
          <w:szCs w:val="24"/>
        </w:rPr>
        <w:t>calibragem</w:t>
      </w:r>
      <w:r w:rsidR="008B14D3" w:rsidRPr="00441FA5">
        <w:rPr>
          <w:rFonts w:ascii="Bookman Old Style" w:hAnsi="Bookman Old Style" w:cs="Arial"/>
          <w:sz w:val="24"/>
          <w:szCs w:val="24"/>
        </w:rPr>
        <w:t xml:space="preserve"> da </w:t>
      </w:r>
      <w:r w:rsidR="00EF5C45" w:rsidRPr="00441FA5">
        <w:rPr>
          <w:rFonts w:ascii="Bookman Old Style" w:hAnsi="Bookman Old Style" w:cs="Arial"/>
          <w:sz w:val="24"/>
          <w:szCs w:val="24"/>
        </w:rPr>
        <w:t>carteira do Muriaé-Prev</w:t>
      </w:r>
      <w:r w:rsidR="00BD4F5E" w:rsidRPr="00441FA5">
        <w:rPr>
          <w:rFonts w:ascii="Bookman Old Style" w:hAnsi="Bookman Old Style" w:cs="Arial"/>
          <w:sz w:val="24"/>
          <w:szCs w:val="24"/>
        </w:rPr>
        <w:t xml:space="preserve"> </w:t>
      </w:r>
      <w:r w:rsidR="00441FA5" w:rsidRPr="00441FA5">
        <w:rPr>
          <w:rFonts w:ascii="Bookman Old Style" w:hAnsi="Bookman Old Style" w:cs="Arial"/>
          <w:sz w:val="24"/>
          <w:szCs w:val="24"/>
        </w:rPr>
        <w:t>priorizando</w:t>
      </w:r>
      <w:r w:rsidR="00080BC0" w:rsidRPr="00441FA5">
        <w:rPr>
          <w:rFonts w:ascii="Bookman Old Style" w:hAnsi="Bookman Old Style" w:cs="Arial"/>
          <w:sz w:val="24"/>
          <w:szCs w:val="24"/>
        </w:rPr>
        <w:t xml:space="preserve"> os fundos CDI, observado o limite de 40% de alocação e o restante utilizando a estratégia de distribuição entre fundos</w:t>
      </w:r>
      <w:r w:rsidR="00983694" w:rsidRPr="00441FA5">
        <w:rPr>
          <w:rFonts w:ascii="Bookman Old Style" w:hAnsi="Bookman Old Style" w:cs="Arial"/>
          <w:sz w:val="24"/>
          <w:szCs w:val="24"/>
        </w:rPr>
        <w:t xml:space="preserve"> IRFM-1, IMA-B 5 e IDKA2</w:t>
      </w:r>
      <w:r w:rsidR="0032248B" w:rsidRPr="00441FA5">
        <w:rPr>
          <w:rFonts w:ascii="Bookman Old Style" w:eastAsia="Times New Roman" w:hAnsi="Bookman Old Style" w:cs="Arial"/>
          <w:color w:val="000000"/>
          <w:sz w:val="24"/>
          <w:szCs w:val="24"/>
        </w:rPr>
        <w:t>.</w:t>
      </w:r>
      <w:r w:rsidR="000E7977" w:rsidRPr="00441FA5">
        <w:rPr>
          <w:rFonts w:ascii="Bookman Old Style" w:eastAsia="Times New Roman" w:hAnsi="Bookman Old Style" w:cs="Arial"/>
          <w:color w:val="000000"/>
          <w:sz w:val="24"/>
          <w:szCs w:val="24"/>
        </w:rPr>
        <w:t xml:space="preserve"> </w:t>
      </w:r>
      <w:r w:rsidR="003972F3" w:rsidRPr="00441FA5">
        <w:rPr>
          <w:rFonts w:ascii="Bookman Old Style" w:eastAsia="Times New Roman" w:hAnsi="Bookman Old Style" w:cs="Arial"/>
          <w:color w:val="000000"/>
          <w:sz w:val="24"/>
          <w:szCs w:val="24"/>
        </w:rPr>
        <w:t xml:space="preserve">Segundo o </w:t>
      </w:r>
      <w:r w:rsidR="00360225" w:rsidRPr="00441FA5">
        <w:rPr>
          <w:rFonts w:ascii="Bookman Old Style" w:eastAsia="Times New Roman" w:hAnsi="Bookman Old Style" w:cs="Arial"/>
          <w:color w:val="000000"/>
          <w:sz w:val="24"/>
          <w:szCs w:val="24"/>
        </w:rPr>
        <w:t>consultor em investimentos</w:t>
      </w:r>
      <w:r w:rsidR="004B088E" w:rsidRPr="00441FA5">
        <w:rPr>
          <w:rFonts w:ascii="Bookman Old Style" w:eastAsia="Times New Roman" w:hAnsi="Bookman Old Style" w:cs="Arial"/>
          <w:color w:val="000000"/>
          <w:sz w:val="24"/>
          <w:szCs w:val="24"/>
        </w:rPr>
        <w:t>,</w:t>
      </w:r>
      <w:r w:rsidR="000A3245">
        <w:rPr>
          <w:rFonts w:ascii="Bookman Old Style" w:eastAsia="Times New Roman" w:hAnsi="Bookman Old Style" w:cs="Arial"/>
          <w:color w:val="000000"/>
          <w:sz w:val="24"/>
          <w:szCs w:val="24"/>
        </w:rPr>
        <w:t xml:space="preserve"> em outubro,</w:t>
      </w:r>
      <w:r w:rsidR="004B088E" w:rsidRPr="00441FA5">
        <w:rPr>
          <w:rFonts w:ascii="Bookman Old Style" w:eastAsia="Times New Roman" w:hAnsi="Bookman Old Style" w:cs="Arial"/>
          <w:color w:val="000000"/>
          <w:sz w:val="24"/>
          <w:szCs w:val="24"/>
        </w:rPr>
        <w:t xml:space="preserve"> </w:t>
      </w:r>
      <w:r w:rsidR="000A3245">
        <w:rPr>
          <w:rFonts w:ascii="BookmanOldStyle" w:hAnsi="BookmanOldStyle" w:cs="BookmanOldStyle"/>
          <w:sz w:val="24"/>
          <w:szCs w:val="24"/>
        </w:rPr>
        <w:t>v</w:t>
      </w:r>
      <w:r w:rsidR="00D17BF0">
        <w:rPr>
          <w:rFonts w:ascii="BookmanOldStyle" w:hAnsi="BookmanOldStyle" w:cs="BookmanOldStyle"/>
          <w:sz w:val="24"/>
          <w:szCs w:val="24"/>
        </w:rPr>
        <w:t xml:space="preserve">oltamos para os </w:t>
      </w:r>
      <w:r w:rsidR="000A3245">
        <w:rPr>
          <w:rFonts w:ascii="BookmanOldStyle" w:hAnsi="BookmanOldStyle" w:cs="BookmanOldStyle"/>
          <w:sz w:val="24"/>
          <w:szCs w:val="24"/>
        </w:rPr>
        <w:t xml:space="preserve">tempos do juro elevado; </w:t>
      </w:r>
      <w:r w:rsidR="00D17BF0">
        <w:rPr>
          <w:rFonts w:ascii="BookmanOldStyle" w:hAnsi="BookmanOldStyle" w:cs="BookmanOldStyle"/>
          <w:sz w:val="24"/>
          <w:szCs w:val="24"/>
        </w:rPr>
        <w:t xml:space="preserve">foi mais um mês com desempenho ruim para o mercado financeiro local com todas as classes de ativos, com exceção de ativos de liquidez. Ao longo do mês, os títulos de renda fixa prefixada, representados pelo índice IRF-M, apresentaram rendimento de -2,63%, enquanto os títulos indexados à inflação, representados pelo índice IMA-B, apresentaram um rendimento de -2,54%. A bolsa brasileira, por sua vez, representada pelo índice IBX apresentou rendimento de -6,81%. Já o CDI, um rendimento de 0,48%, enquanto a moeda brasileira depreciou 3,56%, para o nível de R$5,64 por dólar norte americano.No acumulado do ano os títulos de renda fixa prefixada apresentaram rendimento de -5,5%, enquanto os títulos indexados à inflação, rendimento de - 4,79%. A bolsa brasileira, por sua vez, apresentou rendimento de -12,4%, comparada com o rendimento de 3% do CDI e uma depreciação de 8,4%, da moeda brasileira em relação ao Dólar. Com a expectativa de inflação elevada e a ruptura do teto de gastos, o ciclo de alta da taxa SELIC deve ser mais forte e duradouro, razão pela qual ativos vinculados a taxa de juro CDI voltaram para o radar dos investidores. Além disso, </w:t>
      </w:r>
      <w:r w:rsidR="00D17BF0">
        <w:rPr>
          <w:rFonts w:ascii="Calibri" w:hAnsi="Calibri" w:cs="Calibri"/>
        </w:rPr>
        <w:t>t</w:t>
      </w:r>
      <w:r w:rsidR="00D17BF0">
        <w:rPr>
          <w:rFonts w:ascii="BookmanOldStyle" w:hAnsi="BookmanOldStyle" w:cs="BookmanOldStyle"/>
          <w:sz w:val="24"/>
          <w:szCs w:val="24"/>
        </w:rPr>
        <w:t>eremos adiante um novo ciclo eleitoral, com suas típicas incertezas e volatilidade, rumores de mercado e ruídos nas notícias. Nestas circunstânc</w:t>
      </w:r>
      <w:bookmarkStart w:id="1" w:name="_GoBack"/>
      <w:bookmarkEnd w:id="1"/>
      <w:r w:rsidR="00D17BF0">
        <w:rPr>
          <w:rFonts w:ascii="BookmanOldStyle" w:hAnsi="BookmanOldStyle" w:cs="BookmanOldStyle"/>
          <w:sz w:val="24"/>
          <w:szCs w:val="24"/>
        </w:rPr>
        <w:t>ias, a atual queda no preço dos ativos financeiros deve ser interpretada como uma oscilação e não como perda. No cenário externo, A Bolsa Americana, representada pelo índice SP&amp;500 apresentou rendimento de 6,91% ao longo do mês. Ainda assim, o principal motivo de alerta é o aumento da taxa de juros norte-americana, com reflexos sobre os ativos mundiais, inclusive do Brasil, em especial devido ao incremento no risco país.</w:t>
      </w:r>
      <w:r w:rsidR="00441FA5" w:rsidRPr="00441FA5">
        <w:rPr>
          <w:rFonts w:ascii="Bookman Old Style" w:hAnsi="Bookman Old Style"/>
          <w:sz w:val="24"/>
          <w:szCs w:val="24"/>
        </w:rPr>
        <w:t xml:space="preserve"> </w:t>
      </w:r>
      <w:r w:rsidR="00D17BF0" w:rsidRPr="00611C8B">
        <w:rPr>
          <w:rFonts w:ascii="Bookman Old Style" w:hAnsi="Bookman Old Style"/>
          <w:sz w:val="24"/>
          <w:szCs w:val="24"/>
        </w:rPr>
        <w:t>Em relação a outubro</w:t>
      </w:r>
      <w:r w:rsidR="00E2294C" w:rsidRPr="00611C8B">
        <w:rPr>
          <w:rFonts w:ascii="Bookman Old Style" w:hAnsi="Bookman Old Style"/>
          <w:sz w:val="24"/>
          <w:szCs w:val="24"/>
        </w:rPr>
        <w:t xml:space="preserve"> de 2021, a rentabilidade da carteira de investimentos do Muriaé-Prev foi de </w:t>
      </w:r>
      <w:r w:rsidR="00D17BF0" w:rsidRPr="00611C8B">
        <w:rPr>
          <w:rFonts w:ascii="Bookman Old Style" w:hAnsi="Bookman Old Style"/>
          <w:sz w:val="24"/>
          <w:szCs w:val="24"/>
        </w:rPr>
        <w:t>-0,4326%</w:t>
      </w:r>
      <w:r w:rsidR="00E2294C" w:rsidRPr="00611C8B">
        <w:rPr>
          <w:rFonts w:ascii="Bookman Old Style" w:hAnsi="Bookman Old Style"/>
          <w:sz w:val="24"/>
          <w:szCs w:val="24"/>
        </w:rPr>
        <w:t xml:space="preserve"> em face da meta atuarial de </w:t>
      </w:r>
      <w:r w:rsidR="00731635">
        <w:rPr>
          <w:rFonts w:ascii="Bookman Old Style" w:hAnsi="Bookman Old Style"/>
          <w:sz w:val="24"/>
          <w:szCs w:val="24"/>
        </w:rPr>
        <w:t>1,7004</w:t>
      </w:r>
      <w:r w:rsidR="00E2294C" w:rsidRPr="00611C8B">
        <w:rPr>
          <w:rFonts w:ascii="Bookman Old Style" w:hAnsi="Bookman Old Style"/>
          <w:sz w:val="24"/>
          <w:szCs w:val="24"/>
        </w:rPr>
        <w:t>.</w:t>
      </w:r>
      <w:r w:rsidR="00731635">
        <w:rPr>
          <w:rFonts w:ascii="Bookman Old Style" w:hAnsi="Bookman Old Style"/>
          <w:sz w:val="24"/>
          <w:szCs w:val="24"/>
        </w:rPr>
        <w:t xml:space="preserve"> Foi apresentada e deliberada, também, conforme Anexo I desta ata, a minuta da Política de Investimentos para o exercício de 2022 a ser proposta ao Conselho de Administração do Muriaé-Prev</w:t>
      </w:r>
      <w:r w:rsidR="00E2294C" w:rsidRPr="00611C8B">
        <w:rPr>
          <w:rFonts w:ascii="Bookman Old Style" w:hAnsi="Bookman Old Style"/>
          <w:sz w:val="24"/>
          <w:szCs w:val="24"/>
        </w:rPr>
        <w:t xml:space="preserve"> </w:t>
      </w:r>
      <w:r w:rsidR="006C6C52" w:rsidRPr="00611C8B">
        <w:rPr>
          <w:rFonts w:ascii="Bookman Old Style" w:hAnsi="Bookman Old Style"/>
          <w:sz w:val="24"/>
          <w:szCs w:val="24"/>
        </w:rPr>
        <w:t>Ato contínuo,</w:t>
      </w:r>
      <w:r w:rsidR="006C6C52" w:rsidRPr="00611C8B">
        <w:rPr>
          <w:rFonts w:ascii="Bookman Old Style" w:hAnsi="Bookman Old Style"/>
          <w:b/>
          <w:sz w:val="24"/>
          <w:szCs w:val="24"/>
        </w:rPr>
        <w:t xml:space="preserve"> </w:t>
      </w:r>
      <w:r w:rsidR="006C6C52" w:rsidRPr="00611C8B">
        <w:rPr>
          <w:rFonts w:ascii="Bookman Old Style" w:hAnsi="Bookman Old Style" w:cs="Arial"/>
          <w:sz w:val="24"/>
          <w:szCs w:val="24"/>
        </w:rPr>
        <w:t>o</w:t>
      </w:r>
      <w:r w:rsidR="007703B6" w:rsidRPr="00611C8B">
        <w:rPr>
          <w:rFonts w:ascii="Bookman Old Style" w:hAnsi="Bookman Old Style" w:cs="Arial"/>
          <w:sz w:val="24"/>
          <w:szCs w:val="24"/>
        </w:rPr>
        <w:t xml:space="preserve"> </w:t>
      </w:r>
      <w:r w:rsidR="00515D17" w:rsidRPr="00611C8B">
        <w:rPr>
          <w:rFonts w:ascii="Bookman Old Style" w:hAnsi="Bookman Old Style" w:cs="Arial"/>
          <w:sz w:val="24"/>
          <w:szCs w:val="24"/>
        </w:rPr>
        <w:t>Presidente do C</w:t>
      </w:r>
      <w:r w:rsidR="00B20B3A" w:rsidRPr="00611C8B">
        <w:rPr>
          <w:rFonts w:ascii="Bookman Old Style" w:hAnsi="Bookman Old Style" w:cs="Arial"/>
          <w:sz w:val="24"/>
          <w:szCs w:val="24"/>
        </w:rPr>
        <w:t>omitê</w:t>
      </w:r>
      <w:r w:rsidR="00ED3719" w:rsidRPr="00611C8B">
        <w:rPr>
          <w:rFonts w:ascii="Bookman Old Style" w:hAnsi="Bookman Old Style" w:cs="Arial"/>
          <w:sz w:val="24"/>
          <w:szCs w:val="24"/>
        </w:rPr>
        <w:t xml:space="preserve"> procedeu</w:t>
      </w:r>
      <w:r w:rsidR="00594FAB" w:rsidRPr="00611C8B">
        <w:rPr>
          <w:rFonts w:ascii="Bookman Old Style" w:hAnsi="Bookman Old Style" w:cs="Arial"/>
          <w:sz w:val="24"/>
          <w:szCs w:val="24"/>
        </w:rPr>
        <w:t xml:space="preserve"> </w:t>
      </w:r>
      <w:r w:rsidR="00A81355" w:rsidRPr="00611C8B">
        <w:rPr>
          <w:rFonts w:ascii="Bookman Old Style" w:hAnsi="Bookman Old Style" w:cs="Arial"/>
          <w:sz w:val="24"/>
          <w:szCs w:val="24"/>
        </w:rPr>
        <w:t>a</w:t>
      </w:r>
      <w:r w:rsidR="00594FAB" w:rsidRPr="00611C8B">
        <w:rPr>
          <w:rFonts w:ascii="Bookman Old Style" w:hAnsi="Bookman Old Style" w:cs="Arial"/>
          <w:sz w:val="24"/>
          <w:szCs w:val="24"/>
        </w:rPr>
        <w:t xml:space="preserve"> abertura da etapa dos debates e indicações</w:t>
      </w:r>
      <w:r w:rsidR="006A59F9" w:rsidRPr="00611C8B">
        <w:rPr>
          <w:rFonts w:ascii="Bookman Old Style" w:hAnsi="Bookman Old Style" w:cs="Arial"/>
          <w:sz w:val="24"/>
          <w:szCs w:val="24"/>
        </w:rPr>
        <w:t xml:space="preserve">, apresentada com </w:t>
      </w:r>
      <w:r w:rsidR="00977A01" w:rsidRPr="00611C8B">
        <w:rPr>
          <w:rFonts w:ascii="Bookman Old Style" w:eastAsia="Times New Roman" w:hAnsi="Bookman Old Style" w:cs="Arial"/>
          <w:sz w:val="24"/>
          <w:szCs w:val="24"/>
        </w:rPr>
        <w:t>autoria de</w:t>
      </w:r>
      <w:r w:rsidR="00B77EBB" w:rsidRPr="00611C8B">
        <w:rPr>
          <w:rFonts w:ascii="Bookman Old Style" w:eastAsia="Times New Roman" w:hAnsi="Bookman Old Style" w:cs="Arial"/>
          <w:sz w:val="24"/>
          <w:szCs w:val="24"/>
        </w:rPr>
        <w:t xml:space="preserve"> </w:t>
      </w:r>
      <w:r w:rsidR="00611C8B" w:rsidRPr="00611C8B">
        <w:rPr>
          <w:rFonts w:ascii="Bookman Old Style" w:eastAsia="Times New Roman" w:hAnsi="Bookman Old Style" w:cs="Arial"/>
          <w:sz w:val="24"/>
          <w:szCs w:val="24"/>
        </w:rPr>
        <w:t>Antônio José Pereira Oliveira</w:t>
      </w:r>
      <w:r w:rsidR="00977A01" w:rsidRPr="00611C8B">
        <w:rPr>
          <w:rFonts w:ascii="Bookman Old Style" w:eastAsia="Times New Roman" w:hAnsi="Bookman Old Style" w:cs="Arial"/>
          <w:sz w:val="24"/>
          <w:szCs w:val="24"/>
        </w:rPr>
        <w:t>,</w:t>
      </w:r>
      <w:r w:rsidR="006A59F9" w:rsidRPr="00611C8B">
        <w:rPr>
          <w:rFonts w:ascii="Bookman Old Style" w:eastAsia="Times New Roman" w:hAnsi="Bookman Old Style" w:cs="Arial"/>
          <w:sz w:val="24"/>
          <w:szCs w:val="24"/>
        </w:rPr>
        <w:t xml:space="preserve"> a seguinte proposição</w:t>
      </w:r>
      <w:r w:rsidR="00977A01" w:rsidRPr="00611C8B">
        <w:rPr>
          <w:rFonts w:ascii="Bookman Old Style" w:eastAsia="Times New Roman" w:hAnsi="Bookman Old Style" w:cs="Arial"/>
          <w:sz w:val="24"/>
          <w:szCs w:val="24"/>
        </w:rPr>
        <w:t>:</w:t>
      </w:r>
    </w:p>
    <w:p w:rsidR="00611C8B" w:rsidRDefault="00611C8B" w:rsidP="00BE4BBE">
      <w:pPr>
        <w:numPr>
          <w:ilvl w:val="0"/>
          <w:numId w:val="1"/>
        </w:numPr>
        <w:spacing w:after="0" w:line="240" w:lineRule="auto"/>
        <w:ind w:left="284" w:hanging="284"/>
        <w:jc w:val="both"/>
        <w:rPr>
          <w:rFonts w:ascii="Arial" w:hAnsi="Arial" w:cs="Arial"/>
          <w:b/>
          <w:sz w:val="24"/>
          <w:szCs w:val="24"/>
        </w:rPr>
      </w:pPr>
      <w:r>
        <w:rPr>
          <w:rFonts w:ascii="Arial" w:hAnsi="Arial" w:cs="Arial"/>
          <w:b/>
          <w:sz w:val="24"/>
          <w:szCs w:val="24"/>
        </w:rPr>
        <w:t xml:space="preserve">RESGATE DO VALOR DE R$ 2.000.000,00 (DOIS MILHÕES DE REAIS DO FUNDO DE INVESTIMENTOS BANCO DO BRASIL </w:t>
      </w:r>
      <w:r w:rsidRPr="003E2652">
        <w:rPr>
          <w:rFonts w:ascii="Arial" w:hAnsi="Arial" w:cs="Arial"/>
          <w:b/>
          <w:sz w:val="24"/>
          <w:szCs w:val="24"/>
        </w:rPr>
        <w:t>BB PREVID RF PERFIL</w:t>
      </w:r>
      <w:r>
        <w:rPr>
          <w:rFonts w:ascii="Arial" w:hAnsi="Arial" w:cs="Arial"/>
          <w:b/>
          <w:sz w:val="24"/>
          <w:szCs w:val="24"/>
        </w:rPr>
        <w:t xml:space="preserve"> E REALOCAÇÃO NO FUNDO DE INVESTIMENTOS BANCO </w:t>
      </w:r>
      <w:r w:rsidRPr="003E2652">
        <w:rPr>
          <w:rFonts w:ascii="Arial" w:hAnsi="Arial" w:cs="Arial"/>
          <w:b/>
          <w:sz w:val="24"/>
          <w:szCs w:val="24"/>
        </w:rPr>
        <w:t>SANTANDER INSTITUCIONAL REF. DI (1) CNPJ: 02.224.354/0001-45</w:t>
      </w:r>
      <w:r>
        <w:rPr>
          <w:rFonts w:ascii="Arial" w:hAnsi="Arial" w:cs="Arial"/>
          <w:b/>
          <w:sz w:val="24"/>
          <w:szCs w:val="24"/>
        </w:rPr>
        <w:t>.</w:t>
      </w:r>
    </w:p>
    <w:p w:rsidR="00611C8B" w:rsidRDefault="00611C8B" w:rsidP="00BE4BBE">
      <w:pPr>
        <w:numPr>
          <w:ilvl w:val="0"/>
          <w:numId w:val="1"/>
        </w:numPr>
        <w:spacing w:after="0" w:line="240" w:lineRule="auto"/>
        <w:ind w:left="284" w:hanging="284"/>
        <w:jc w:val="both"/>
        <w:rPr>
          <w:rFonts w:ascii="Arial" w:hAnsi="Arial" w:cs="Arial"/>
          <w:b/>
          <w:sz w:val="24"/>
          <w:szCs w:val="24"/>
        </w:rPr>
      </w:pPr>
      <w:r>
        <w:rPr>
          <w:rFonts w:ascii="Arial" w:hAnsi="Arial" w:cs="Arial"/>
          <w:b/>
          <w:sz w:val="24"/>
          <w:szCs w:val="24"/>
        </w:rPr>
        <w:lastRenderedPageBreak/>
        <w:t xml:space="preserve">RESGATE DO VALOR DE R$ 10.000.000,00 (DEZ MILHÕES DE REAIS DO FUNDO DE INVESTIMENTOS </w:t>
      </w:r>
      <w:r w:rsidRPr="00A074D4">
        <w:rPr>
          <w:rFonts w:ascii="Arial" w:hAnsi="Arial" w:cs="Arial"/>
          <w:b/>
          <w:sz w:val="24"/>
          <w:szCs w:val="24"/>
        </w:rPr>
        <w:t>FI CAIXA ALIANÇA TITULOS PÚBLICOS RF</w:t>
      </w:r>
      <w:r>
        <w:rPr>
          <w:rFonts w:ascii="Arial" w:hAnsi="Arial" w:cs="Arial"/>
          <w:b/>
          <w:sz w:val="24"/>
          <w:szCs w:val="24"/>
        </w:rPr>
        <w:t xml:space="preserve"> E REALOCAÇÃO NO FUNDO DE INVESTIMENTOS </w:t>
      </w:r>
      <w:r w:rsidRPr="00A074D4">
        <w:rPr>
          <w:rFonts w:ascii="Arial" w:hAnsi="Arial" w:cs="Arial"/>
          <w:b/>
          <w:sz w:val="24"/>
          <w:szCs w:val="24"/>
        </w:rPr>
        <w:t>CAIXA FI BRASIL TÍTULOS PUBLICOS RF</w:t>
      </w:r>
      <w:r>
        <w:rPr>
          <w:rFonts w:ascii="Arial" w:hAnsi="Arial" w:cs="Arial"/>
          <w:b/>
          <w:sz w:val="24"/>
          <w:szCs w:val="24"/>
        </w:rPr>
        <w:t>.</w:t>
      </w:r>
    </w:p>
    <w:p w:rsidR="00611C8B" w:rsidRPr="00441FA5" w:rsidRDefault="00611C8B" w:rsidP="00BE4BBE">
      <w:pPr>
        <w:numPr>
          <w:ilvl w:val="0"/>
          <w:numId w:val="1"/>
        </w:numPr>
        <w:spacing w:after="0" w:line="240" w:lineRule="auto"/>
        <w:ind w:left="284" w:hanging="284"/>
        <w:jc w:val="both"/>
        <w:rPr>
          <w:rFonts w:ascii="Arial" w:hAnsi="Arial" w:cs="Arial"/>
          <w:b/>
          <w:sz w:val="24"/>
          <w:szCs w:val="24"/>
        </w:rPr>
      </w:pPr>
      <w:r w:rsidRPr="00441FA5">
        <w:rPr>
          <w:rFonts w:ascii="Arial" w:hAnsi="Arial" w:cs="Arial"/>
          <w:b/>
          <w:sz w:val="24"/>
          <w:szCs w:val="24"/>
        </w:rPr>
        <w:t>ALOCA</w:t>
      </w:r>
      <w:r>
        <w:rPr>
          <w:rFonts w:ascii="Arial" w:hAnsi="Arial" w:cs="Arial"/>
          <w:b/>
          <w:sz w:val="24"/>
          <w:szCs w:val="24"/>
        </w:rPr>
        <w:t>ÇÃO DOS NOVOS APORTES DE NOVEMBRO</w:t>
      </w:r>
      <w:r w:rsidRPr="00441FA5">
        <w:rPr>
          <w:rFonts w:ascii="Arial" w:hAnsi="Arial" w:cs="Arial"/>
          <w:b/>
          <w:sz w:val="24"/>
          <w:szCs w:val="24"/>
        </w:rPr>
        <w:t xml:space="preserve"> DE 2021 NO FUNDO DE INVESTIMENTOS CAIXA FI BRASIL IRF-M 1 T.</w:t>
      </w:r>
      <w:r>
        <w:rPr>
          <w:rFonts w:ascii="Arial" w:hAnsi="Arial" w:cs="Arial"/>
          <w:b/>
          <w:sz w:val="24"/>
          <w:szCs w:val="24"/>
        </w:rPr>
        <w:t xml:space="preserve"> </w:t>
      </w:r>
      <w:r w:rsidRPr="00441FA5">
        <w:rPr>
          <w:rFonts w:ascii="Arial" w:hAnsi="Arial" w:cs="Arial"/>
          <w:b/>
          <w:sz w:val="24"/>
          <w:szCs w:val="24"/>
        </w:rPr>
        <w:t>PUB.RF.</w:t>
      </w:r>
    </w:p>
    <w:p w:rsidR="00C73263" w:rsidRPr="00441FA5" w:rsidRDefault="00731635" w:rsidP="00D17BF0">
      <w:pPr>
        <w:spacing w:after="0" w:line="240" w:lineRule="auto"/>
        <w:jc w:val="both"/>
        <w:rPr>
          <w:rFonts w:ascii="Arial" w:eastAsia="Times New Roman" w:hAnsi="Arial" w:cs="Arial"/>
          <w:b/>
          <w:sz w:val="24"/>
          <w:szCs w:val="24"/>
        </w:rPr>
      </w:pPr>
      <w:r>
        <w:rPr>
          <w:rFonts w:ascii="Bookman Old Style" w:hAnsi="Bookman Old Style" w:cs="Arial"/>
          <w:sz w:val="24"/>
          <w:szCs w:val="24"/>
        </w:rPr>
        <w:t>Todas as</w:t>
      </w:r>
      <w:r w:rsidR="00977A01" w:rsidRPr="00441FA5">
        <w:rPr>
          <w:rFonts w:ascii="Bookman Old Style" w:hAnsi="Bookman Old Style" w:cs="Arial"/>
          <w:sz w:val="24"/>
          <w:szCs w:val="24"/>
        </w:rPr>
        <w:t xml:space="preserve"> deliberações</w:t>
      </w:r>
      <w:r w:rsidR="005D32FA" w:rsidRPr="00441FA5">
        <w:rPr>
          <w:rFonts w:ascii="Bookman Old Style" w:hAnsi="Bookman Old Style" w:cs="Arial"/>
          <w:sz w:val="24"/>
          <w:szCs w:val="24"/>
        </w:rPr>
        <w:t xml:space="preserve"> </w:t>
      </w:r>
      <w:r w:rsidR="003A06EB" w:rsidRPr="00441FA5">
        <w:rPr>
          <w:rFonts w:ascii="Bookman Old Style" w:hAnsi="Bookman Old Style" w:cs="Arial"/>
          <w:sz w:val="24"/>
          <w:szCs w:val="24"/>
        </w:rPr>
        <w:t>propostas</w:t>
      </w:r>
      <w:r w:rsidR="00022F8F" w:rsidRPr="00441FA5">
        <w:rPr>
          <w:rFonts w:ascii="Bookman Old Style" w:hAnsi="Bookman Old Style" w:cs="Arial"/>
          <w:sz w:val="24"/>
          <w:szCs w:val="24"/>
        </w:rPr>
        <w:t xml:space="preserve"> </w:t>
      </w:r>
      <w:r w:rsidR="00EE495D" w:rsidRPr="00441FA5">
        <w:rPr>
          <w:rFonts w:ascii="Bookman Old Style" w:hAnsi="Bookman Old Style" w:cs="Arial"/>
          <w:sz w:val="24"/>
          <w:szCs w:val="24"/>
        </w:rPr>
        <w:t xml:space="preserve">foram </w:t>
      </w:r>
      <w:r w:rsidR="007636F5" w:rsidRPr="00441FA5">
        <w:rPr>
          <w:rFonts w:ascii="Bookman Old Style" w:hAnsi="Bookman Old Style" w:cs="Arial"/>
          <w:sz w:val="24"/>
          <w:szCs w:val="24"/>
        </w:rPr>
        <w:t>aprovadas</w:t>
      </w:r>
      <w:r w:rsidR="00036527" w:rsidRPr="00441FA5">
        <w:rPr>
          <w:rFonts w:ascii="Bookman Old Style" w:hAnsi="Bookman Old Style" w:cs="Arial"/>
          <w:sz w:val="24"/>
          <w:szCs w:val="24"/>
        </w:rPr>
        <w:t xml:space="preserve"> </w:t>
      </w:r>
      <w:r w:rsidR="005F1656" w:rsidRPr="00441FA5">
        <w:rPr>
          <w:rFonts w:ascii="Bookman Old Style" w:hAnsi="Bookman Old Style" w:cs="Arial"/>
          <w:sz w:val="24"/>
          <w:szCs w:val="24"/>
        </w:rPr>
        <w:t xml:space="preserve">pela unanimidade </w:t>
      </w:r>
      <w:r w:rsidR="00BA1E3A" w:rsidRPr="00441FA5">
        <w:rPr>
          <w:rFonts w:ascii="Bookman Old Style" w:hAnsi="Bookman Old Style" w:cs="Arial"/>
          <w:sz w:val="24"/>
          <w:szCs w:val="24"/>
        </w:rPr>
        <w:t>dos votos</w:t>
      </w:r>
      <w:r w:rsidR="00EE495D" w:rsidRPr="00441FA5">
        <w:rPr>
          <w:rFonts w:ascii="Bookman Old Style" w:hAnsi="Bookman Old Style" w:cs="Arial"/>
          <w:sz w:val="24"/>
          <w:szCs w:val="24"/>
        </w:rPr>
        <w:t xml:space="preserve"> presentes</w:t>
      </w:r>
      <w:r w:rsidR="00BA1E3A" w:rsidRPr="00441FA5">
        <w:rPr>
          <w:rFonts w:ascii="Bookman Old Style" w:hAnsi="Bookman Old Style" w:cs="Arial"/>
          <w:sz w:val="24"/>
          <w:szCs w:val="24"/>
        </w:rPr>
        <w:t xml:space="preserve"> e habilitados</w:t>
      </w:r>
      <w:r w:rsidR="00EE495D" w:rsidRPr="00441FA5">
        <w:rPr>
          <w:rFonts w:ascii="Bookman Old Style" w:hAnsi="Bookman Old Style" w:cs="Arial"/>
          <w:sz w:val="24"/>
          <w:szCs w:val="24"/>
        </w:rPr>
        <w:t xml:space="preserve">. </w:t>
      </w:r>
      <w:r w:rsidR="00EF5C45" w:rsidRPr="00441FA5">
        <w:rPr>
          <w:rFonts w:ascii="Bookman Old Style" w:hAnsi="Bookman Old Style" w:cs="Arial"/>
          <w:sz w:val="24"/>
          <w:szCs w:val="24"/>
        </w:rPr>
        <w:t>Concluída</w:t>
      </w:r>
      <w:r w:rsidR="00A81355" w:rsidRPr="00441FA5">
        <w:rPr>
          <w:rFonts w:ascii="Bookman Old Style" w:hAnsi="Bookman Old Style" w:cs="Arial"/>
          <w:sz w:val="24"/>
          <w:szCs w:val="24"/>
        </w:rPr>
        <w:t xml:space="preserve"> a votação</w:t>
      </w:r>
      <w:r w:rsidR="00EE495D" w:rsidRPr="00441FA5">
        <w:rPr>
          <w:rFonts w:ascii="Bookman Old Style" w:hAnsi="Bookman Old Style" w:cs="Arial"/>
          <w:sz w:val="24"/>
          <w:szCs w:val="24"/>
        </w:rPr>
        <w:t xml:space="preserve"> </w:t>
      </w:r>
      <w:r w:rsidR="00441FA5" w:rsidRPr="00441FA5">
        <w:rPr>
          <w:rFonts w:ascii="Bookman Old Style" w:hAnsi="Bookman Old Style" w:cs="Arial"/>
          <w:sz w:val="24"/>
          <w:szCs w:val="24"/>
        </w:rPr>
        <w:t>acima. Foi deliberado, ainda pela unanimidade dos votos habilitados,</w:t>
      </w:r>
      <w:r w:rsidR="00611C8B">
        <w:rPr>
          <w:rFonts w:ascii="Bookman Old Style" w:hAnsi="Bookman Old Style" w:cs="Arial"/>
          <w:sz w:val="24"/>
          <w:szCs w:val="24"/>
        </w:rPr>
        <w:t xml:space="preserve"> a minuta de proposição da Política de Investimentos conforme Anexo I desta Ata</w:t>
      </w:r>
      <w:r w:rsidR="00E95A59">
        <w:rPr>
          <w:rFonts w:ascii="Bookman Old Style" w:hAnsi="Bookman Old Style" w:cs="Arial"/>
          <w:sz w:val="24"/>
          <w:szCs w:val="24"/>
        </w:rPr>
        <w:t>.</w:t>
      </w:r>
      <w:r w:rsidR="00020C6F" w:rsidRPr="00E95A59">
        <w:rPr>
          <w:rFonts w:ascii="Bookman Old Style" w:hAnsi="Bookman Old Style" w:cs="Arial"/>
          <w:sz w:val="24"/>
          <w:szCs w:val="24"/>
        </w:rPr>
        <w:t xml:space="preserve"> </w:t>
      </w:r>
      <w:r w:rsidR="00207F4E" w:rsidRPr="00441FA5">
        <w:rPr>
          <w:rFonts w:ascii="Bookman Old Style" w:hAnsi="Bookman Old Style" w:cs="Arial"/>
          <w:sz w:val="24"/>
          <w:szCs w:val="24"/>
        </w:rPr>
        <w:t>E</w:t>
      </w:r>
      <w:r w:rsidR="00B20B3A" w:rsidRPr="00441FA5">
        <w:rPr>
          <w:rFonts w:ascii="Bookman Old Style" w:hAnsi="Bookman Old Style" w:cs="Arial"/>
          <w:sz w:val="24"/>
          <w:szCs w:val="24"/>
        </w:rPr>
        <w:t>ncerrada a pauta dos trabalhos e nada mai</w:t>
      </w:r>
      <w:r w:rsidR="003A06EB" w:rsidRPr="00441FA5">
        <w:rPr>
          <w:rFonts w:ascii="Bookman Old Style" w:hAnsi="Bookman Old Style" w:cs="Arial"/>
          <w:sz w:val="24"/>
          <w:szCs w:val="24"/>
        </w:rPr>
        <w:t>s havendo, o P</w:t>
      </w:r>
      <w:r w:rsidR="00207F4E" w:rsidRPr="00441FA5">
        <w:rPr>
          <w:rFonts w:ascii="Bookman Old Style" w:hAnsi="Bookman Old Style" w:cs="Arial"/>
          <w:sz w:val="24"/>
          <w:szCs w:val="24"/>
        </w:rPr>
        <w:t xml:space="preserve">residente do </w:t>
      </w:r>
      <w:r w:rsidR="0015384C" w:rsidRPr="00441FA5">
        <w:rPr>
          <w:rFonts w:ascii="Bookman Old Style" w:hAnsi="Bookman Old Style" w:cs="Arial"/>
          <w:sz w:val="24"/>
          <w:szCs w:val="24"/>
        </w:rPr>
        <w:t xml:space="preserve">Comitê de Investimentos do Muriaé-Prev </w:t>
      </w:r>
      <w:r w:rsidR="00B20B3A" w:rsidRPr="00441FA5">
        <w:rPr>
          <w:rFonts w:ascii="Bookman Old Style" w:hAnsi="Bookman Old Style" w:cs="Arial"/>
          <w:sz w:val="24"/>
          <w:szCs w:val="24"/>
        </w:rPr>
        <w:t>agradeceu a presença de todos e declarou encerrada a</w:t>
      </w:r>
      <w:r w:rsidR="006C6C52" w:rsidRPr="00441FA5">
        <w:rPr>
          <w:rFonts w:ascii="Bookman Old Style" w:hAnsi="Bookman Old Style" w:cs="Arial"/>
          <w:sz w:val="24"/>
          <w:szCs w:val="24"/>
        </w:rPr>
        <w:t xml:space="preserve"> r</w:t>
      </w:r>
      <w:r w:rsidR="00080BC0" w:rsidRPr="00441FA5">
        <w:rPr>
          <w:rFonts w:ascii="Bookman Old Style" w:hAnsi="Bookman Old Style" w:cs="Arial"/>
          <w:sz w:val="24"/>
          <w:szCs w:val="24"/>
        </w:rPr>
        <w:t xml:space="preserve">eunião às </w:t>
      </w:r>
      <w:r w:rsidR="00611C8B">
        <w:rPr>
          <w:rFonts w:ascii="Bookman Old Style" w:hAnsi="Bookman Old Style" w:cs="Arial"/>
          <w:sz w:val="24"/>
          <w:szCs w:val="24"/>
        </w:rPr>
        <w:t>10:26</w:t>
      </w:r>
      <w:r w:rsidR="005473B4" w:rsidRPr="00441FA5">
        <w:rPr>
          <w:rFonts w:ascii="Bookman Old Style" w:hAnsi="Bookman Old Style" w:cs="Arial"/>
          <w:sz w:val="24"/>
          <w:szCs w:val="24"/>
        </w:rPr>
        <w:t xml:space="preserve"> h</w:t>
      </w:r>
      <w:r w:rsidR="00207F4E" w:rsidRPr="00441FA5">
        <w:rPr>
          <w:rFonts w:ascii="Bookman Old Style" w:hAnsi="Bookman Old Style" w:cs="Arial"/>
          <w:sz w:val="24"/>
          <w:szCs w:val="24"/>
        </w:rPr>
        <w:t xml:space="preserve">, na qual </w:t>
      </w:r>
      <w:r w:rsidR="00B20B3A" w:rsidRPr="00441FA5">
        <w:rPr>
          <w:rFonts w:ascii="Bookman Old Style" w:hAnsi="Bookman Old Style" w:cs="Arial"/>
          <w:sz w:val="24"/>
          <w:szCs w:val="24"/>
        </w:rPr>
        <w:t>vai assinada</w:t>
      </w:r>
      <w:r w:rsidR="00611C8B">
        <w:rPr>
          <w:rFonts w:ascii="Bookman Old Style" w:hAnsi="Bookman Old Style" w:cs="Arial"/>
          <w:sz w:val="24"/>
          <w:szCs w:val="24"/>
        </w:rPr>
        <w:t xml:space="preserve"> por mim, Nancy Lieta Lima e</w:t>
      </w:r>
      <w:r w:rsidR="00B20B3A" w:rsidRPr="00441FA5">
        <w:rPr>
          <w:rFonts w:ascii="Bookman Old Style" w:hAnsi="Bookman Old Style" w:cs="Arial"/>
          <w:sz w:val="24"/>
          <w:szCs w:val="24"/>
        </w:rPr>
        <w:t xml:space="preserve"> pelos membros presentes à reunião.</w:t>
      </w:r>
    </w:p>
    <w:p w:rsidR="00441FA5" w:rsidRDefault="00441FA5" w:rsidP="00D17BF0">
      <w:pPr>
        <w:tabs>
          <w:tab w:val="left" w:pos="3990"/>
        </w:tabs>
        <w:spacing w:after="0" w:line="240" w:lineRule="auto"/>
        <w:jc w:val="both"/>
        <w:rPr>
          <w:rFonts w:ascii="Bookman Old Style" w:hAnsi="Bookman Old Style" w:cs="Arial"/>
          <w:sz w:val="24"/>
          <w:szCs w:val="24"/>
        </w:rPr>
      </w:pPr>
    </w:p>
    <w:p w:rsidR="00C73263" w:rsidRPr="00441FA5" w:rsidRDefault="00F87787" w:rsidP="00F87787">
      <w:pPr>
        <w:tabs>
          <w:tab w:val="left" w:pos="3990"/>
        </w:tabs>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b/>
        <w:t xml:space="preserve">  </w:t>
      </w:r>
    </w:p>
    <w:p w:rsidR="00A202FD" w:rsidRPr="00441FA5" w:rsidRDefault="00A202FD" w:rsidP="003471CC">
      <w:pPr>
        <w:spacing w:after="0" w:line="240" w:lineRule="auto"/>
        <w:jc w:val="both"/>
        <w:rPr>
          <w:rFonts w:ascii="Bookman Old Style" w:hAnsi="Bookman Old Style" w:cs="Arial"/>
          <w:sz w:val="24"/>
          <w:szCs w:val="24"/>
        </w:rPr>
      </w:pPr>
    </w:p>
    <w:p w:rsidR="00BD5DA9" w:rsidRPr="00441FA5" w:rsidRDefault="00C73263" w:rsidP="00BD5DA9">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Alessandro Rodrigues Campos</w:t>
      </w:r>
      <w:r w:rsidR="006C6C52" w:rsidRPr="00441FA5">
        <w:rPr>
          <w:rFonts w:ascii="Bookman Old Style" w:hAnsi="Bookman Old Style" w:cs="Arial"/>
          <w:sz w:val="24"/>
          <w:szCs w:val="24"/>
        </w:rPr>
        <w:t xml:space="preserve">            </w:t>
      </w:r>
      <w:r w:rsidR="006F5F57" w:rsidRPr="00441FA5">
        <w:rPr>
          <w:rFonts w:ascii="Bookman Old Style" w:hAnsi="Bookman Old Style" w:cs="Arial"/>
          <w:sz w:val="24"/>
          <w:szCs w:val="24"/>
        </w:rPr>
        <w:t xml:space="preserve">            </w:t>
      </w:r>
      <w:r w:rsidR="00BD5DA9" w:rsidRPr="00441FA5">
        <w:rPr>
          <w:rFonts w:ascii="Bookman Old Style" w:hAnsi="Bookman Old Style" w:cs="Arial"/>
          <w:sz w:val="24"/>
          <w:szCs w:val="24"/>
        </w:rPr>
        <w:t>Antônio José Pereira de Oliveira</w:t>
      </w:r>
    </w:p>
    <w:p w:rsidR="00BD5DA9" w:rsidRDefault="00BD5DA9" w:rsidP="00BD5DA9">
      <w:pPr>
        <w:spacing w:after="0" w:line="240" w:lineRule="auto"/>
        <w:jc w:val="both"/>
        <w:rPr>
          <w:rFonts w:ascii="Bookman Old Style" w:hAnsi="Bookman Old Style" w:cs="Arial"/>
          <w:sz w:val="24"/>
          <w:szCs w:val="24"/>
        </w:rPr>
      </w:pPr>
    </w:p>
    <w:p w:rsidR="00441FA5" w:rsidRPr="00441FA5" w:rsidRDefault="00441FA5" w:rsidP="00BD5DA9">
      <w:pPr>
        <w:spacing w:after="0" w:line="240" w:lineRule="auto"/>
        <w:jc w:val="both"/>
        <w:rPr>
          <w:rFonts w:ascii="Bookman Old Style" w:hAnsi="Bookman Old Style" w:cs="Arial"/>
          <w:sz w:val="24"/>
          <w:szCs w:val="24"/>
        </w:rPr>
      </w:pPr>
    </w:p>
    <w:p w:rsidR="00374DA1" w:rsidRPr="00441FA5" w:rsidRDefault="00374DA1" w:rsidP="00BD5DA9">
      <w:pPr>
        <w:spacing w:after="0" w:line="240" w:lineRule="auto"/>
        <w:jc w:val="both"/>
        <w:rPr>
          <w:rFonts w:ascii="Bookman Old Style" w:hAnsi="Bookman Old Style" w:cs="Arial"/>
          <w:sz w:val="24"/>
          <w:szCs w:val="24"/>
        </w:rPr>
      </w:pPr>
    </w:p>
    <w:p w:rsidR="00374DA1" w:rsidRDefault="006F5F57" w:rsidP="003471CC">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Stelamaris Schuenck Barbosa Resende</w:t>
      </w:r>
      <w:r w:rsidR="006C6C52" w:rsidRPr="00441FA5">
        <w:rPr>
          <w:rFonts w:ascii="Bookman Old Style" w:hAnsi="Bookman Old Style" w:cs="Arial"/>
          <w:sz w:val="24"/>
          <w:szCs w:val="24"/>
        </w:rPr>
        <w:t xml:space="preserve">     </w:t>
      </w:r>
      <w:r w:rsidRPr="00441FA5">
        <w:rPr>
          <w:rFonts w:ascii="Bookman Old Style" w:hAnsi="Bookman Old Style" w:cs="Arial"/>
          <w:sz w:val="24"/>
          <w:szCs w:val="24"/>
        </w:rPr>
        <w:t xml:space="preserve">       </w:t>
      </w:r>
      <w:r w:rsidR="00D17BF0" w:rsidRPr="00441FA5">
        <w:rPr>
          <w:rFonts w:ascii="Bookman Old Style" w:hAnsi="Bookman Old Style" w:cs="Arial"/>
          <w:sz w:val="24"/>
          <w:szCs w:val="24"/>
        </w:rPr>
        <w:t xml:space="preserve">Renata Ramos de Lacerda </w:t>
      </w:r>
    </w:p>
    <w:p w:rsidR="00441FA5" w:rsidRPr="00441FA5" w:rsidRDefault="00441FA5" w:rsidP="003471CC">
      <w:pPr>
        <w:spacing w:after="0" w:line="240" w:lineRule="auto"/>
        <w:jc w:val="both"/>
        <w:rPr>
          <w:rFonts w:ascii="Bookman Old Style" w:hAnsi="Bookman Old Style" w:cs="Arial"/>
          <w:sz w:val="24"/>
          <w:szCs w:val="24"/>
        </w:rPr>
      </w:pPr>
    </w:p>
    <w:p w:rsidR="00D17BF0" w:rsidRDefault="00D17BF0" w:rsidP="006C6C52">
      <w:pPr>
        <w:spacing w:after="0" w:line="240" w:lineRule="auto"/>
        <w:jc w:val="both"/>
        <w:rPr>
          <w:rFonts w:ascii="Bookman Old Style" w:hAnsi="Bookman Old Style" w:cs="Arial"/>
          <w:sz w:val="24"/>
          <w:szCs w:val="24"/>
        </w:rPr>
      </w:pPr>
    </w:p>
    <w:p w:rsidR="00D17BF0" w:rsidRDefault="00D17BF0" w:rsidP="006C6C52">
      <w:pPr>
        <w:spacing w:after="0" w:line="240" w:lineRule="auto"/>
        <w:jc w:val="both"/>
        <w:rPr>
          <w:rFonts w:ascii="Bookman Old Style" w:hAnsi="Bookman Old Style" w:cs="Arial"/>
          <w:sz w:val="24"/>
          <w:szCs w:val="24"/>
        </w:rPr>
      </w:pPr>
    </w:p>
    <w:p w:rsidR="003345AA" w:rsidRPr="00441FA5" w:rsidRDefault="00BD5DA9" w:rsidP="006C6C52">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Víctor Cavalari Vieira Oliveira</w:t>
      </w:r>
      <w:r w:rsidR="006C6C52" w:rsidRPr="00441FA5">
        <w:rPr>
          <w:rFonts w:ascii="Bookman Old Style" w:hAnsi="Bookman Old Style" w:cs="Arial"/>
          <w:sz w:val="24"/>
          <w:szCs w:val="24"/>
        </w:rPr>
        <w:t xml:space="preserve">            </w:t>
      </w:r>
      <w:r w:rsidR="006F5F57" w:rsidRPr="00441FA5">
        <w:rPr>
          <w:rFonts w:ascii="Bookman Old Style" w:hAnsi="Bookman Old Style" w:cs="Arial"/>
          <w:sz w:val="24"/>
          <w:szCs w:val="24"/>
        </w:rPr>
        <w:t xml:space="preserve">            </w:t>
      </w:r>
      <w:r w:rsidR="00611C8B">
        <w:rPr>
          <w:rFonts w:ascii="Bookman Old Style" w:hAnsi="Bookman Old Style" w:cs="Arial"/>
          <w:sz w:val="24"/>
          <w:szCs w:val="24"/>
        </w:rPr>
        <w:t xml:space="preserve">   Nancy Lieta Lima</w:t>
      </w:r>
      <w:r w:rsidR="006F5F57" w:rsidRPr="00441FA5">
        <w:rPr>
          <w:rFonts w:ascii="Bookman Old Style" w:hAnsi="Bookman Old Style" w:cs="Arial"/>
          <w:sz w:val="24"/>
          <w:szCs w:val="24"/>
        </w:rPr>
        <w:t xml:space="preserve">  </w:t>
      </w:r>
      <w:r w:rsidR="006C6C52" w:rsidRPr="00441FA5">
        <w:rPr>
          <w:rFonts w:ascii="Bookman Old Style" w:hAnsi="Bookman Old Style" w:cs="Arial"/>
          <w:sz w:val="24"/>
          <w:szCs w:val="24"/>
        </w:rPr>
        <w:t xml:space="preserve"> </w:t>
      </w:r>
    </w:p>
    <w:p w:rsidR="00F6521C" w:rsidRPr="006F5F57" w:rsidRDefault="00F6521C" w:rsidP="003471CC">
      <w:pPr>
        <w:tabs>
          <w:tab w:val="left" w:pos="3750"/>
        </w:tabs>
        <w:spacing w:after="0"/>
        <w:jc w:val="both"/>
        <w:rPr>
          <w:rFonts w:ascii="Bookman Old Style" w:hAnsi="Bookman Old Style" w:cs="Arial"/>
          <w:b/>
          <w:sz w:val="20"/>
          <w:szCs w:val="20"/>
        </w:rPr>
      </w:pPr>
    </w:p>
    <w:p w:rsidR="00882F1C" w:rsidRDefault="00882F1C"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611C8B">
      <w:pPr>
        <w:pBdr>
          <w:bottom w:val="single" w:sz="4" w:space="1" w:color="auto"/>
        </w:pBdr>
        <w:autoSpaceDE w:val="0"/>
        <w:autoSpaceDN w:val="0"/>
        <w:adjustRightInd w:val="0"/>
        <w:spacing w:after="0" w:line="240" w:lineRule="auto"/>
        <w:rPr>
          <w:rFonts w:ascii="Arial" w:hAnsi="Arial" w:cs="Arial"/>
          <w:b/>
          <w:bCs/>
          <w:sz w:val="32"/>
          <w:szCs w:val="32"/>
        </w:rPr>
      </w:pPr>
      <w:r>
        <w:rPr>
          <w:rFonts w:ascii="Arial" w:hAnsi="Arial" w:cs="Arial"/>
          <w:b/>
          <w:bCs/>
          <w:sz w:val="32"/>
          <w:szCs w:val="32"/>
        </w:rPr>
        <w:lastRenderedPageBreak/>
        <w:t>ANEXO I</w:t>
      </w:r>
    </w:p>
    <w:p w:rsidR="00611C8B" w:rsidRPr="00352ECA" w:rsidRDefault="00611C8B" w:rsidP="00611C8B">
      <w:pPr>
        <w:pBdr>
          <w:bottom w:val="single" w:sz="4" w:space="1" w:color="auto"/>
        </w:pBdr>
        <w:autoSpaceDE w:val="0"/>
        <w:autoSpaceDN w:val="0"/>
        <w:adjustRightInd w:val="0"/>
        <w:spacing w:after="0" w:line="240" w:lineRule="auto"/>
        <w:rPr>
          <w:rFonts w:ascii="Arial" w:hAnsi="Arial" w:cs="Arial"/>
          <w:b/>
          <w:bCs/>
          <w:sz w:val="32"/>
          <w:szCs w:val="32"/>
        </w:rPr>
      </w:pPr>
      <w:r w:rsidRPr="00352ECA">
        <w:rPr>
          <w:rFonts w:ascii="Arial" w:hAnsi="Arial" w:cs="Arial"/>
          <w:b/>
          <w:bCs/>
          <w:sz w:val="32"/>
          <w:szCs w:val="32"/>
        </w:rPr>
        <w:t>DIRETRIZES DE INVESTIMENTO</w:t>
      </w:r>
    </w:p>
    <w:p w:rsidR="00611C8B" w:rsidRPr="00352ECA" w:rsidRDefault="00611C8B" w:rsidP="00611C8B">
      <w:pPr>
        <w:autoSpaceDE w:val="0"/>
        <w:autoSpaceDN w:val="0"/>
        <w:adjustRightInd w:val="0"/>
        <w:spacing w:after="0" w:line="240" w:lineRule="auto"/>
        <w:ind w:left="426" w:hanging="426"/>
        <w:rPr>
          <w:rFonts w:ascii="Arial" w:hAnsi="Arial" w:cs="Arial"/>
          <w:bCs/>
          <w:sz w:val="29"/>
          <w:szCs w:val="29"/>
        </w:rPr>
      </w:pPr>
      <w:bookmarkStart w:id="2" w:name="_Hlk23767752"/>
      <w:r w:rsidRPr="00352ECA">
        <w:rPr>
          <w:rFonts w:ascii="Arial" w:hAnsi="Arial" w:cs="Arial"/>
          <w:bCs/>
          <w:sz w:val="29"/>
          <w:szCs w:val="29"/>
        </w:rPr>
        <w:t>Fundo Previdenciário de Muriaé-Muriaé-Prev</w:t>
      </w:r>
    </w:p>
    <w:bookmarkEnd w:id="2"/>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rPr>
          <w:rFonts w:ascii="Arial" w:hAnsi="Arial" w:cs="Arial"/>
          <w:b/>
          <w:bCs/>
          <w:sz w:val="42"/>
          <w:szCs w:val="42"/>
        </w:rPr>
      </w:pPr>
    </w:p>
    <w:p w:rsidR="00611C8B" w:rsidRPr="00352ECA" w:rsidRDefault="00611C8B" w:rsidP="00611C8B">
      <w:pPr>
        <w:autoSpaceDE w:val="0"/>
        <w:autoSpaceDN w:val="0"/>
        <w:adjustRightInd w:val="0"/>
        <w:spacing w:after="0" w:line="240" w:lineRule="auto"/>
        <w:ind w:left="426" w:hanging="426"/>
        <w:jc w:val="center"/>
        <w:rPr>
          <w:rFonts w:ascii="Arial" w:hAnsi="Arial" w:cs="Arial"/>
          <w:b/>
          <w:bCs/>
          <w:sz w:val="52"/>
          <w:szCs w:val="52"/>
        </w:rPr>
      </w:pPr>
      <w:r w:rsidRPr="00352ECA">
        <w:rPr>
          <w:rFonts w:ascii="Arial" w:hAnsi="Arial" w:cs="Arial"/>
          <w:b/>
          <w:bCs/>
          <w:sz w:val="52"/>
          <w:szCs w:val="52"/>
        </w:rPr>
        <w:t>Política de Investimentos</w:t>
      </w:r>
    </w:p>
    <w:p w:rsidR="00611C8B" w:rsidRPr="00352ECA" w:rsidRDefault="00611C8B" w:rsidP="00611C8B">
      <w:pPr>
        <w:autoSpaceDE w:val="0"/>
        <w:autoSpaceDN w:val="0"/>
        <w:adjustRightInd w:val="0"/>
        <w:spacing w:after="0" w:line="240" w:lineRule="auto"/>
        <w:ind w:left="426" w:hanging="426"/>
        <w:jc w:val="center"/>
        <w:rPr>
          <w:rFonts w:ascii="Arial" w:hAnsi="Arial" w:cs="Arial"/>
          <w:b/>
          <w:bCs/>
          <w:sz w:val="52"/>
          <w:szCs w:val="52"/>
        </w:rPr>
      </w:pPr>
      <w:r w:rsidRPr="00352ECA">
        <w:rPr>
          <w:rFonts w:ascii="Arial" w:hAnsi="Arial" w:cs="Arial"/>
          <w:b/>
          <w:bCs/>
          <w:sz w:val="52"/>
          <w:szCs w:val="52"/>
        </w:rPr>
        <w:t>2022</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i/>
          <w:iCs/>
          <w:sz w:val="28"/>
          <w:szCs w:val="28"/>
        </w:rPr>
      </w:pPr>
    </w:p>
    <w:p w:rsidR="00611C8B" w:rsidRPr="00352ECA" w:rsidRDefault="00611C8B" w:rsidP="00611C8B">
      <w:pPr>
        <w:autoSpaceDE w:val="0"/>
        <w:autoSpaceDN w:val="0"/>
        <w:adjustRightInd w:val="0"/>
        <w:spacing w:after="0" w:line="240" w:lineRule="auto"/>
        <w:ind w:left="426" w:hanging="426"/>
        <w:jc w:val="center"/>
        <w:rPr>
          <w:rFonts w:ascii="Arial" w:hAnsi="Arial" w:cs="Arial"/>
          <w:b/>
          <w:bCs/>
          <w:iCs/>
          <w:sz w:val="28"/>
          <w:szCs w:val="28"/>
        </w:rPr>
      </w:pPr>
      <w:r w:rsidRPr="00352ECA">
        <w:rPr>
          <w:rFonts w:ascii="Arial" w:hAnsi="Arial" w:cs="Arial"/>
          <w:b/>
          <w:bCs/>
          <w:iCs/>
          <w:sz w:val="28"/>
          <w:szCs w:val="28"/>
        </w:rPr>
        <w:t>“As aplicações de recursos nos segmentos de investimento definidos nesta Política de Investimentos deverão ser objeto de aprovação prévia na Instância Superior do Regime Próprio de Previdência Social. ”</w:t>
      </w:r>
    </w:p>
    <w:p w:rsidR="00611C8B" w:rsidRPr="00352ECA" w:rsidRDefault="00611C8B" w:rsidP="00611C8B">
      <w:pPr>
        <w:ind w:left="426" w:hanging="426"/>
        <w:jc w:val="both"/>
        <w:rPr>
          <w:rFonts w:ascii="Arial" w:hAnsi="Arial" w:cs="Arial"/>
          <w:sz w:val="24"/>
          <w:szCs w:val="24"/>
        </w:rPr>
      </w:pPr>
      <w:r w:rsidRPr="00352ECA">
        <w:rPr>
          <w:rFonts w:ascii="Arial" w:hAnsi="Arial" w:cs="Arial"/>
          <w:sz w:val="24"/>
          <w:szCs w:val="24"/>
        </w:rPr>
        <w:br w:type="page"/>
      </w:r>
    </w:p>
    <w:p w:rsidR="00611C8B" w:rsidRPr="00352ECA" w:rsidRDefault="00611C8B" w:rsidP="00611C8B">
      <w:pPr>
        <w:pBdr>
          <w:bottom w:val="single" w:sz="4" w:space="1" w:color="auto"/>
        </w:pBdr>
        <w:autoSpaceDE w:val="0"/>
        <w:autoSpaceDN w:val="0"/>
        <w:adjustRightInd w:val="0"/>
        <w:spacing w:after="0" w:line="240" w:lineRule="auto"/>
        <w:ind w:left="426" w:hanging="426"/>
        <w:rPr>
          <w:rFonts w:ascii="Arial" w:hAnsi="Arial" w:cs="Arial"/>
          <w:sz w:val="24"/>
          <w:szCs w:val="24"/>
        </w:rPr>
      </w:pPr>
      <w:r w:rsidRPr="00352ECA">
        <w:rPr>
          <w:rFonts w:ascii="Arial" w:hAnsi="Arial" w:cs="Arial"/>
          <w:sz w:val="24"/>
          <w:szCs w:val="24"/>
        </w:rPr>
        <w:lastRenderedPageBreak/>
        <w:t>FUNDO PREVIDENCIÁRIO DE MURIAÉ-MURIAÉ-PREV</w:t>
      </w:r>
    </w:p>
    <w:p w:rsidR="00611C8B" w:rsidRPr="00352ECA" w:rsidRDefault="00611C8B" w:rsidP="00611C8B">
      <w:pPr>
        <w:autoSpaceDE w:val="0"/>
        <w:autoSpaceDN w:val="0"/>
        <w:adjustRightInd w:val="0"/>
        <w:spacing w:after="0" w:line="240" w:lineRule="auto"/>
        <w:ind w:left="426" w:hanging="426"/>
        <w:jc w:val="right"/>
        <w:rPr>
          <w:rFonts w:ascii="Arial" w:hAnsi="Arial" w:cs="Arial"/>
          <w:sz w:val="20"/>
          <w:szCs w:val="20"/>
        </w:rPr>
      </w:pPr>
      <w:r w:rsidRPr="00352ECA">
        <w:rPr>
          <w:rFonts w:ascii="Arial" w:hAnsi="Arial" w:cs="Arial"/>
          <w:sz w:val="20"/>
          <w:szCs w:val="20"/>
        </w:rPr>
        <w:t>Política de Investimento / 2022</w:t>
      </w:r>
    </w:p>
    <w:p w:rsidR="00611C8B" w:rsidRPr="00352ECA" w:rsidRDefault="00611C8B" w:rsidP="00611C8B">
      <w:pPr>
        <w:autoSpaceDE w:val="0"/>
        <w:autoSpaceDN w:val="0"/>
        <w:adjustRightInd w:val="0"/>
        <w:spacing w:after="0" w:line="240" w:lineRule="auto"/>
        <w:ind w:left="426" w:hanging="426"/>
        <w:rPr>
          <w:rFonts w:ascii="Arial" w:hAnsi="Arial" w:cs="Arial"/>
          <w:sz w:val="24"/>
          <w:szCs w:val="24"/>
        </w:rPr>
      </w:pPr>
    </w:p>
    <w:p w:rsidR="00611C8B" w:rsidRPr="00352ECA" w:rsidRDefault="00611C8B" w:rsidP="00BE4BBE">
      <w:pPr>
        <w:pStyle w:val="PargrafodaLista"/>
        <w:numPr>
          <w:ilvl w:val="0"/>
          <w:numId w:val="2"/>
        </w:num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Introdução</w:t>
      </w:r>
    </w:p>
    <w:p w:rsidR="00611C8B" w:rsidRPr="00352ECA" w:rsidRDefault="00611C8B" w:rsidP="00611C8B">
      <w:pPr>
        <w:pStyle w:val="PargrafodaLista"/>
        <w:autoSpaceDE w:val="0"/>
        <w:autoSpaceDN w:val="0"/>
        <w:adjustRightInd w:val="0"/>
        <w:spacing w:after="0" w:line="240" w:lineRule="auto"/>
        <w:ind w:left="426" w:hanging="426"/>
        <w:jc w:val="both"/>
        <w:rPr>
          <w:rFonts w:ascii="Arial" w:hAnsi="Arial" w:cs="Arial"/>
          <w:b/>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Atendendo à legislação pertinente aos investimentos dos Regimes Próprios de Previdência Social – RPPS, em especial à Resolução CMN nº. 3.922, de 25 de novembro de 2010 (</w:t>
      </w:r>
      <w:r w:rsidRPr="00352ECA">
        <w:rPr>
          <w:rFonts w:ascii="Arial" w:hAnsi="Arial" w:cs="Arial"/>
          <w:b/>
          <w:sz w:val="24"/>
          <w:szCs w:val="24"/>
          <w:u w:val="single"/>
        </w:rPr>
        <w:t>texto consolidado</w:t>
      </w:r>
      <w:r w:rsidRPr="00352ECA">
        <w:rPr>
          <w:rFonts w:ascii="Arial" w:hAnsi="Arial" w:cs="Arial"/>
          <w:sz w:val="24"/>
          <w:szCs w:val="24"/>
        </w:rPr>
        <w:t>), o Fundo Previdenciário de Muriaé – Muriaé-Prev, por meio de seu Conselho Deliberativo, está apresentando a versão de sua Política de Investimentos para o ano de 2022, devidamente aprovada pelo órgão superior de supervisão e deliberação.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6"/>
          <w:szCs w:val="6"/>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Trata-se de uma formalidade legal que fundamenta e norteia todo o processo de tomada de decisão relativa aos investimentos do Fundo Previdenciário de Muriaé – Muriaé-Prev utilizado como instrumento necessário para garantir a consistência da gestão dos recursos no decorrer do tempo e visar à manutenção do equilíbrio econômico-financeiro entre os seus ativos e passivos.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6"/>
          <w:szCs w:val="6"/>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BE4BBE">
      <w:pPr>
        <w:pStyle w:val="PargrafodaLista"/>
        <w:numPr>
          <w:ilvl w:val="0"/>
          <w:numId w:val="2"/>
        </w:num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Objetivos</w:t>
      </w:r>
    </w:p>
    <w:p w:rsidR="00611C8B" w:rsidRPr="00352ECA" w:rsidRDefault="00611C8B" w:rsidP="00611C8B">
      <w:pPr>
        <w:pStyle w:val="PargrafodaLista"/>
        <w:autoSpaceDE w:val="0"/>
        <w:autoSpaceDN w:val="0"/>
        <w:adjustRightInd w:val="0"/>
        <w:spacing w:after="0" w:line="240" w:lineRule="auto"/>
        <w:ind w:left="426" w:hanging="426"/>
        <w:jc w:val="both"/>
        <w:rPr>
          <w:rFonts w:ascii="Arial" w:hAnsi="Arial" w:cs="Arial"/>
          <w:b/>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 Política de Investimentos tem o papel de delimitar os objetivos do RPPS</w:t>
      </w:r>
      <w:r w:rsidRPr="00352ECA">
        <w:rPr>
          <w:rStyle w:val="Refdenotaderodap"/>
          <w:rFonts w:ascii="Arial" w:hAnsi="Arial" w:cs="Arial"/>
          <w:sz w:val="24"/>
          <w:szCs w:val="24"/>
        </w:rPr>
        <w:footnoteReference w:id="1"/>
      </w:r>
      <w:r w:rsidRPr="00352ECA">
        <w:rPr>
          <w:rFonts w:ascii="Arial" w:hAnsi="Arial" w:cs="Arial"/>
          <w:sz w:val="24"/>
          <w:szCs w:val="24"/>
        </w:rPr>
        <w:t xml:space="preserve"> em relação à gestão de seus ativos, facilitando a comunicação dos mesmos aos órgãos reguladores do Sistema e aos participantes. O presente busca se adequar às mudanças ocorridas no âmbito do sistema de previdência dos Regimes Próprios e às mudanças advindas do próprio mercado financeiro.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É um instrumento que proporciona à Diretoria e aos demais órgãos envolvidos na gestão dos recursos uma melhor definição das diretrizes básicas, dos limites de risco a que serão expostos os conjuntos de investimentos. Tratará, ainda, o presente documento da rentabilidade mínima a ser buscada pelos gestores, da adequação da Carteira aos ditames legais e da estratégia de alocação de recursos a vigorar no período de 01/01/2022 à 31/12/2022.</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No intuito de alcançar determinada taxa de rentabilidade real para a carteira do RPPS, a estratégia de investimento prevê sua diversificação, tanto no nível de classe de ativos (renda fixa, renda variável, exterior) quanto na segmentação por subclasse de ativos, emissor, vencimentos diversos e indexadores, visando, igualmente, a otimização da relação risco-retorno do montante total aplicado.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Sempre será considerada a preservação do capital, os níveis de risco adequados ao perfil do RPPS, a taxa esperada de retorno, os limites legais e operacionais, a liquidez adequada dos ativos, traçando-se uma estratégia de investimentos, não só focada no curto e médio prazo, mas, principalmente, no longo prazo.</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8"/>
          <w:szCs w:val="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2.1 O Conselho Deliberativo:</w:t>
      </w:r>
    </w:p>
    <w:p w:rsidR="00611C8B" w:rsidRPr="00352ECA" w:rsidRDefault="00611C8B" w:rsidP="00BE4BBE">
      <w:pPr>
        <w:pStyle w:val="PargrafodaLista"/>
        <w:numPr>
          <w:ilvl w:val="0"/>
          <w:numId w:val="3"/>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lastRenderedPageBreak/>
        <w:t>Aprovar as aplicações de recursos nos segmentos de investimento previstos nesta Política de Investimentos;</w:t>
      </w:r>
    </w:p>
    <w:p w:rsidR="00611C8B" w:rsidRPr="00352ECA" w:rsidRDefault="00611C8B" w:rsidP="00BE4BBE">
      <w:pPr>
        <w:pStyle w:val="PargrafodaLista"/>
        <w:numPr>
          <w:ilvl w:val="0"/>
          <w:numId w:val="3"/>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Aprovar os limites operacionais e os intervalos de risco que poderão ser assumidos no âmbito da gestão dos recursos garantidores dos planos de benefícios;</w:t>
      </w:r>
    </w:p>
    <w:p w:rsidR="00611C8B" w:rsidRPr="00352ECA" w:rsidRDefault="00611C8B" w:rsidP="00BE4BBE">
      <w:pPr>
        <w:pStyle w:val="PargrafodaLista"/>
        <w:numPr>
          <w:ilvl w:val="0"/>
          <w:numId w:val="3"/>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Aprovar o percentual máximo (com relação ao total da carteira) a ser conferido aos administradores/gestores de recursos dos planos;</w:t>
      </w:r>
    </w:p>
    <w:p w:rsidR="00611C8B" w:rsidRPr="00352ECA" w:rsidRDefault="00611C8B" w:rsidP="00BE4BBE">
      <w:pPr>
        <w:pStyle w:val="PargrafodaLista"/>
        <w:numPr>
          <w:ilvl w:val="0"/>
          <w:numId w:val="3"/>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Determinar o percentual máximo do total de ativos dos planos a ser gerido como carteira própria;</w:t>
      </w:r>
    </w:p>
    <w:p w:rsidR="00611C8B" w:rsidRPr="00352ECA" w:rsidRDefault="00611C8B" w:rsidP="00BE4BBE">
      <w:pPr>
        <w:pStyle w:val="PargrafodaLista"/>
        <w:numPr>
          <w:ilvl w:val="0"/>
          <w:numId w:val="3"/>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Aprovar os planos de enquadramento às legislações vigentes;</w:t>
      </w:r>
    </w:p>
    <w:p w:rsidR="00611C8B" w:rsidRPr="00352ECA" w:rsidRDefault="00611C8B" w:rsidP="00BE4BBE">
      <w:pPr>
        <w:pStyle w:val="PargrafodaLista"/>
        <w:numPr>
          <w:ilvl w:val="0"/>
          <w:numId w:val="3"/>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Aprovar os critérios para seleção e avaliação de gestor (es) de recurso (s) dos planos, bem como o limite máximo de remuneração do (s) referido (s) gestor (es).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r w:rsidRPr="00352ECA">
        <w:rPr>
          <w:rFonts w:ascii="Arial" w:hAnsi="Arial" w:cs="Arial"/>
          <w:b/>
          <w:bCs/>
          <w:sz w:val="24"/>
          <w:szCs w:val="24"/>
        </w:rPr>
        <w:t>3. Cenário Econômico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eastAsia="Times New Roman" w:hAnsi="Arial" w:cs="Arial"/>
          <w:color w:val="000000"/>
          <w:sz w:val="24"/>
          <w:szCs w:val="24"/>
        </w:rPr>
        <w:t xml:space="preserve">         </w:t>
      </w:r>
      <w:r w:rsidRPr="00352ECA">
        <w:rPr>
          <w:rFonts w:ascii="Arial" w:hAnsi="Arial" w:cs="Arial"/>
          <w:sz w:val="24"/>
          <w:szCs w:val="24"/>
        </w:rPr>
        <w:t xml:space="preserve">O mercado financeiro espera para o ano de 2022 taxa de juro em patamar acima de 9% ao ano, inflação ainda elevada e processo lento de recuperação do PIB, mesmo com as medidas implementadas durante a pandemia da Covid-19 de estímulo ao consumo e ajuda na retomada do crescimento da economia. </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b/>
        <w:t>No mercado internacional, o cenário deve se manter desafiador com juros em elevação nos países desenvolvidos. A tendência global é ainda é de um Dólar forte, impulsionado pela expectativa de recuperação da economia internacional. No mercado doméstico parece ter prevalecido as análises dos analistas de mercado para o cenário dos juros, com as projeções para a taxa de inflação ainda não totalmente sob controle.</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b/>
        <w:t>Neste aspecto, os dados de mercado (IBGE) mostram inflação (IPCA) persistente. Para 2022, os economistas das instituições financeiras trabalham com estimativa de inflação de 4,40%.</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tbl>
      <w:tblPr>
        <w:tblW w:w="8136" w:type="dxa"/>
        <w:jc w:val="center"/>
        <w:tblBorders>
          <w:top w:val="single" w:sz="6" w:space="0" w:color="EEEEEE"/>
          <w:left w:val="single" w:sz="2" w:space="0" w:color="EEEEEE"/>
          <w:bottom w:val="single" w:sz="6" w:space="0" w:color="EEEEEE"/>
          <w:right w:val="single" w:sz="2" w:space="0" w:color="EEEEEE"/>
        </w:tblBorders>
        <w:tblCellMar>
          <w:left w:w="0" w:type="dxa"/>
          <w:right w:w="0" w:type="dxa"/>
        </w:tblCellMar>
        <w:tblLook w:val="04A0" w:firstRow="1" w:lastRow="0" w:firstColumn="1" w:lastColumn="0" w:noHBand="0" w:noVBand="1"/>
      </w:tblPr>
      <w:tblGrid>
        <w:gridCol w:w="5620"/>
        <w:gridCol w:w="2516"/>
      </w:tblGrid>
      <w:tr w:rsidR="00611C8B" w:rsidRPr="00352ECA" w:rsidTr="00611C8B">
        <w:trPr>
          <w:trHeight w:val="260"/>
          <w:jc w:val="center"/>
        </w:trPr>
        <w:tc>
          <w:tcPr>
            <w:tcW w:w="5620" w:type="dxa"/>
            <w:tcBorders>
              <w:top w:val="nil"/>
              <w:left w:val="nil"/>
              <w:bottom w:val="single" w:sz="6" w:space="0" w:color="FFFFFF"/>
              <w:right w:val="single" w:sz="6" w:space="0" w:color="FFFFFF"/>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PREVISÃO</w:t>
            </w:r>
          </w:p>
        </w:tc>
        <w:tc>
          <w:tcPr>
            <w:tcW w:w="0" w:type="auto"/>
            <w:tcBorders>
              <w:top w:val="nil"/>
              <w:left w:val="single" w:sz="6" w:space="0" w:color="FFFFFF"/>
              <w:bottom w:val="single" w:sz="6" w:space="0" w:color="EEEEEE"/>
              <w:right w:val="nil"/>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2022</w:t>
            </w:r>
          </w:p>
        </w:tc>
      </w:tr>
      <w:tr w:rsidR="00611C8B" w:rsidRPr="00352ECA" w:rsidTr="00611C8B">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Produto Interno Bruto (PIB)</w:t>
            </w:r>
          </w:p>
        </w:tc>
        <w:tc>
          <w:tcPr>
            <w:tcW w:w="0" w:type="auto"/>
            <w:tcBorders>
              <w:top w:val="single" w:sz="6" w:space="0" w:color="EEEEEE"/>
              <w:left w:val="single" w:sz="6" w:space="0" w:color="EEEEEE"/>
              <w:bottom w:val="single" w:sz="6" w:space="0" w:color="EEEEEE"/>
              <w:right w:val="nil"/>
            </w:tcBorders>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1,40%</w:t>
            </w:r>
          </w:p>
        </w:tc>
      </w:tr>
      <w:tr w:rsidR="00611C8B" w:rsidRPr="00352ECA" w:rsidTr="00611C8B">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Inflação</w:t>
            </w:r>
          </w:p>
        </w:tc>
        <w:tc>
          <w:tcPr>
            <w:tcW w:w="0" w:type="auto"/>
            <w:tcBorders>
              <w:top w:val="single" w:sz="6" w:space="0" w:color="EEEEEE"/>
              <w:left w:val="single" w:sz="6" w:space="0" w:color="EEEEEE"/>
              <w:bottom w:val="single" w:sz="6" w:space="0" w:color="EEEEEE"/>
              <w:right w:val="nil"/>
            </w:tcBorders>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4,40%</w:t>
            </w:r>
          </w:p>
        </w:tc>
      </w:tr>
      <w:tr w:rsidR="00611C8B" w:rsidRPr="00352ECA" w:rsidTr="00611C8B">
        <w:trPr>
          <w:trHeight w:val="275"/>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Taxa básica de juros (Selic)</w:t>
            </w:r>
          </w:p>
        </w:tc>
        <w:tc>
          <w:tcPr>
            <w:tcW w:w="0" w:type="auto"/>
            <w:tcBorders>
              <w:top w:val="single" w:sz="6" w:space="0" w:color="EEEEEE"/>
              <w:left w:val="single" w:sz="6" w:space="0" w:color="EEEEEE"/>
              <w:bottom w:val="single" w:sz="6" w:space="0" w:color="EEEEEE"/>
              <w:right w:val="nil"/>
            </w:tcBorders>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9,50%</w:t>
            </w:r>
          </w:p>
        </w:tc>
      </w:tr>
      <w:tr w:rsidR="00611C8B" w:rsidRPr="00352ECA" w:rsidTr="00611C8B">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Dólar</w:t>
            </w:r>
          </w:p>
        </w:tc>
        <w:tc>
          <w:tcPr>
            <w:tcW w:w="0" w:type="auto"/>
            <w:tcBorders>
              <w:top w:val="single" w:sz="6" w:space="0" w:color="EEEEEE"/>
              <w:left w:val="single" w:sz="6" w:space="0" w:color="EEEEEE"/>
              <w:bottom w:val="single" w:sz="6" w:space="0" w:color="EEEEEE"/>
              <w:right w:val="nil"/>
            </w:tcBorders>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R$ 5,45</w:t>
            </w:r>
          </w:p>
        </w:tc>
      </w:tr>
      <w:tr w:rsidR="00611C8B" w:rsidRPr="00352ECA" w:rsidTr="00611C8B">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Balança comercial (saldo)</w:t>
            </w:r>
          </w:p>
        </w:tc>
        <w:tc>
          <w:tcPr>
            <w:tcW w:w="0" w:type="auto"/>
            <w:tcBorders>
              <w:top w:val="single" w:sz="6" w:space="0" w:color="EEEEEE"/>
              <w:left w:val="single" w:sz="6" w:space="0" w:color="EEEEEE"/>
              <w:bottom w:val="single" w:sz="6" w:space="0" w:color="EEEEEE"/>
              <w:right w:val="nil"/>
            </w:tcBorders>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US$ 63 bilhões</w:t>
            </w:r>
          </w:p>
        </w:tc>
      </w:tr>
      <w:tr w:rsidR="00611C8B" w:rsidRPr="00352ECA" w:rsidTr="00611C8B">
        <w:trPr>
          <w:trHeight w:val="260"/>
          <w:jc w:val="center"/>
        </w:trPr>
        <w:tc>
          <w:tcPr>
            <w:tcW w:w="5620" w:type="dxa"/>
            <w:tcBorders>
              <w:top w:val="single" w:sz="6" w:space="0" w:color="FFFFFF"/>
              <w:left w:val="nil"/>
              <w:bottom w:val="nil"/>
              <w:right w:val="single" w:sz="6" w:space="0" w:color="EEEEEE"/>
            </w:tcBorders>
            <w:shd w:val="clear" w:color="auto" w:fill="EEEEEE"/>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Investimento estrangeiro direto</w:t>
            </w:r>
          </w:p>
        </w:tc>
        <w:tc>
          <w:tcPr>
            <w:tcW w:w="0" w:type="auto"/>
            <w:tcBorders>
              <w:top w:val="single" w:sz="6" w:space="0" w:color="EEEEEE"/>
              <w:left w:val="single" w:sz="6" w:space="0" w:color="EEEEEE"/>
              <w:bottom w:val="nil"/>
              <w:right w:val="nil"/>
            </w:tcBorders>
            <w:vAlign w:val="center"/>
            <w:hideMark/>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US$ 60 bilhões</w:t>
            </w:r>
          </w:p>
        </w:tc>
      </w:tr>
    </w:tbl>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           Fonte: Relatório Focus: 22/10/2021</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8"/>
        <w:gridCol w:w="1990"/>
      </w:tblGrid>
      <w:tr w:rsidR="00611C8B" w:rsidRPr="00352ECA" w:rsidTr="00611C8B">
        <w:tc>
          <w:tcPr>
            <w:tcW w:w="7248" w:type="dxa"/>
            <w:shd w:val="clear" w:color="auto" w:fill="auto"/>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Índice de Referência (IPCA/INPC + 5,04% aa) – Expectativa 2022</w:t>
            </w:r>
          </w:p>
        </w:tc>
        <w:tc>
          <w:tcPr>
            <w:tcW w:w="1990" w:type="dxa"/>
            <w:shd w:val="clear" w:color="auto" w:fill="auto"/>
          </w:tcPr>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9,66% ao ano</w:t>
            </w:r>
          </w:p>
        </w:tc>
      </w:tr>
    </w:tbl>
    <w:p w:rsidR="00611C8B" w:rsidRPr="00352ECA" w:rsidRDefault="00611C8B" w:rsidP="00611C8B">
      <w:pPr>
        <w:autoSpaceDE w:val="0"/>
        <w:autoSpaceDN w:val="0"/>
        <w:adjustRightInd w:val="0"/>
        <w:spacing w:after="0" w:line="240" w:lineRule="auto"/>
        <w:ind w:left="426" w:hanging="426"/>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lastRenderedPageBreak/>
        <w:t xml:space="preserve">            O cenário macroeconômico tem por objetivo detalhar a projeção de variáveis macroeconômicas a partir da conjuntura atual e por intermédio de premissas e hipóteses condizentes com realidade econômica, a fim de prover às demais áreas da autarquia análises que contribuam para a condução dos processos de alocação e tomada de decisão de investimento.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            As projeções dos principais indicadores econômicos são utilizadas para desenhar estes cenários, que também servirão como plano de fundo às análises e aos estudos, com intuito de informar aos gestores os principais impactos possíveis sobre os diversos mercados e, assim, tornar a tomada de decisão mais segura e eficiente.</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          O detalhamento dos cenários é parte integrante dos documentos sobre o estudo de macro alocação conduzidos pelo regime e integram o Anexo I deste documento.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r w:rsidRPr="00352ECA">
        <w:rPr>
          <w:rFonts w:ascii="Arial" w:hAnsi="Arial" w:cs="Arial"/>
          <w:b/>
          <w:bCs/>
          <w:sz w:val="24"/>
          <w:szCs w:val="24"/>
        </w:rPr>
        <w:t>4. Diretrizes de Alocação dos Recursos</w:t>
      </w:r>
    </w:p>
    <w:p w:rsidR="00611C8B" w:rsidRPr="00352ECA" w:rsidRDefault="00611C8B" w:rsidP="00611C8B">
      <w:pPr>
        <w:pStyle w:val="PargrafodaLista"/>
        <w:autoSpaceDE w:val="0"/>
        <w:autoSpaceDN w:val="0"/>
        <w:adjustRightInd w:val="0"/>
        <w:spacing w:after="0" w:line="240" w:lineRule="auto"/>
        <w:ind w:left="426" w:hanging="426"/>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1) A gestão de recursos do Fundo com finalidade previdenciária poderá ser realizada através de gestão própria ou gestão por entidade credenciada, conforme disposto na Resolução CMN 3.922 de 25 de novembro de 2010 (</w:t>
      </w:r>
      <w:r w:rsidRPr="00352ECA">
        <w:rPr>
          <w:rFonts w:ascii="Arial" w:hAnsi="Arial" w:cs="Arial"/>
          <w:b/>
          <w:sz w:val="24"/>
          <w:szCs w:val="24"/>
        </w:rPr>
        <w:t>texto consolidado</w:t>
      </w:r>
      <w:r w:rsidRPr="00352ECA">
        <w:rPr>
          <w:rFonts w:ascii="Arial" w:hAnsi="Arial" w:cs="Arial"/>
          <w:sz w:val="24"/>
          <w:szCs w:val="24"/>
        </w:rPr>
        <w:t>);</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2) Nas operações de compra ou venda de títulos públicos deverão ser observadas as informações divulgadas, diariamente, por entidades reconhecidamente idôneas pela sua transparência e elevado padrão técnico na difusão de preços e taxas dos títulos, para fins de utilização como referência em negociações no mercado financeiro, antes do efetivo fechamento da operação;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3) As operações de compra de títulos públicos deverão ser efetuadas através de leilões primários ou mercado secundário, desde que os preços praticados nestas operações observem como parâmetro o intervalo da marcação a mercado dos títulos públicos divulgados pela ANBIMA ou BACEN no dia das operações, que se refere aos preços praticados em mercado;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4) As operações de venda de títulos públicos deverão ser efetuadas através de mercado secundário e os preços praticados deverão observar como parâmetro o intervalo da marcação a mercado dos títulos públicos divulgado pela ANBIMA ou BACEN no dia das operações, que se refere aos preços praticados em mercado;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5) As aplicações em operações compromissadas serão realizadas com lastro em Títulos do Tesouro Nacional;</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6) As aplicações em fundos de investimento deverão ocorrer mediante credenciamento da instituição financeira e a avaliação comparativa de produtos similares, devendo ser considerados critérios contemplando a segurança, rentabilidade, solvência e liquidez dessas Aplicações e das instituições, de forma a viabilizar a melhor escolha;</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7) Os títulos e valores mobiliários integrantes dos diversos segmentos de aplicação dos recursos do Regime Próprio de Previdência Social devem ser registrados no Sistema Especial de Liquidação e Custódia (SELIC), em sistemas de registro e de liquidação financeira de ativos autorizados pelo Banco Central do Brasil e/ou mantidos em conta de depósito em instituição ou entidade autorizada à prestação desse serviço pela Comissão de Valores Mobiliários – CVM;</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8) Os títulos de emissão do Tesouro Nacional, registrados no Sistema Especial de Liquidação e Custódia (SELIC) deverão ser realizadas por meio de plataformas eletrônicas administradas por sistemas autorizados a funcionar pelo Banco Central do Brasil ou pela Comissão de Valores Mobiliários (CVM), nas suas respectivas áreas de competência, admitindo-se, ainda, aquisições em ofertas públicas do Tesouro Nacional por intermédio das instituições regularmente habilitadas, desde que possam ser devidamente comprovadas;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lastRenderedPageBreak/>
        <w:t>9)  As aplicações de recursos deverão privilegiar as aplicações com o binômio risco retorno mais adequado às necessidades de liquidez do fluxo de receitas e despesas projetadas;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10) As aplicações em Fundos de Investimento em Direitos Creditórios – FIDC somente poderão ser efetuadas em produtos que apresentem, obrigatoriamente, dentre os sistemas de garantia e colateral oferecidos, o mecanismo de </w:t>
      </w:r>
      <w:r w:rsidRPr="00352ECA">
        <w:rPr>
          <w:rFonts w:ascii="Arial" w:hAnsi="Arial" w:cs="Arial"/>
          <w:b/>
          <w:bCs/>
          <w:sz w:val="24"/>
          <w:szCs w:val="24"/>
        </w:rPr>
        <w:t xml:space="preserve">subordinação de quotas, </w:t>
      </w:r>
      <w:r w:rsidRPr="00352ECA">
        <w:rPr>
          <w:rFonts w:ascii="Arial" w:hAnsi="Arial" w:cs="Arial"/>
          <w:sz w:val="24"/>
          <w:szCs w:val="24"/>
        </w:rPr>
        <w:t>isto é, emissão de quotas subordinadas garantidas pelo originador/cedente dos direitos creditórios.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11) As aplicações de recursos deverão perseguir a rentabilidade real determinada pela Portaria SPREV nº 6.132, de 25 de maio de 2021 acrescida da variação do Índice de Preço ao Consumidor Amplo (IPCA) ou do Índice Nacional de Preços ao Consumidor (INPC), privilegiando as aplicações com o binômio risco-retorno mais adequado às necessidades de liquidez do fluxo de pagamentos de benefícios previdenciários e duração do passivo previdenciário.</w:t>
      </w:r>
    </w:p>
    <w:p w:rsidR="00611C8B" w:rsidRPr="00352ECA" w:rsidRDefault="00611C8B" w:rsidP="00611C8B">
      <w:pPr>
        <w:autoSpaceDE w:val="0"/>
        <w:autoSpaceDN w:val="0"/>
        <w:adjustRightInd w:val="0"/>
        <w:spacing w:after="0" w:line="240" w:lineRule="auto"/>
        <w:ind w:left="426" w:hanging="426"/>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jc w:val="center"/>
        <w:rPr>
          <w:rFonts w:ascii="Arial" w:hAnsi="Arial" w:cs="Arial"/>
          <w:b/>
          <w:bCs/>
          <w:sz w:val="24"/>
          <w:szCs w:val="24"/>
        </w:rPr>
      </w:pPr>
      <w:r w:rsidRPr="00352ECA">
        <w:rPr>
          <w:rFonts w:ascii="Arial" w:hAnsi="Arial" w:cs="Arial"/>
          <w:b/>
          <w:bCs/>
          <w:sz w:val="24"/>
          <w:szCs w:val="24"/>
        </w:rPr>
        <w:t xml:space="preserve">Portaria SPREV </w:t>
      </w:r>
      <w:r w:rsidRPr="00352ECA">
        <w:rPr>
          <w:rFonts w:ascii="Arial" w:hAnsi="Arial" w:cs="Arial"/>
          <w:b/>
          <w:sz w:val="24"/>
          <w:szCs w:val="24"/>
        </w:rPr>
        <w:t>Nº</w:t>
      </w:r>
      <w:r w:rsidRPr="00352ECA">
        <w:rPr>
          <w:rFonts w:ascii="Arial" w:hAnsi="Arial" w:cs="Arial"/>
          <w:b/>
          <w:bCs/>
          <w:sz w:val="24"/>
          <w:szCs w:val="24"/>
        </w:rPr>
        <w:t xml:space="preserve"> 6.132, de 25 de maio de 2021</w:t>
      </w:r>
    </w:p>
    <w:p w:rsidR="00611C8B" w:rsidRPr="00352ECA" w:rsidRDefault="00611C8B" w:rsidP="00611C8B">
      <w:pPr>
        <w:autoSpaceDE w:val="0"/>
        <w:autoSpaceDN w:val="0"/>
        <w:adjustRightInd w:val="0"/>
        <w:spacing w:after="0" w:line="240" w:lineRule="auto"/>
        <w:ind w:left="426" w:hanging="426"/>
        <w:jc w:val="center"/>
        <w:rPr>
          <w:rFonts w:ascii="Arial" w:hAnsi="Arial" w:cs="Arial"/>
          <w:b/>
          <w:bCs/>
          <w:sz w:val="24"/>
          <w:szCs w:val="24"/>
        </w:rPr>
      </w:pPr>
    </w:p>
    <w:tbl>
      <w:tblPr>
        <w:tblW w:w="0" w:type="auto"/>
        <w:tblBorders>
          <w:insideH w:val="single" w:sz="4" w:space="0" w:color="auto"/>
          <w:insideV w:val="single" w:sz="4" w:space="0" w:color="auto"/>
        </w:tblBorders>
        <w:tblLook w:val="04A0" w:firstRow="1" w:lastRow="0" w:firstColumn="1" w:lastColumn="0" w:noHBand="0" w:noVBand="1"/>
      </w:tblPr>
      <w:tblGrid>
        <w:gridCol w:w="2972"/>
        <w:gridCol w:w="6374"/>
      </w:tblGrid>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
                <w:bCs/>
                <w:sz w:val="24"/>
                <w:szCs w:val="24"/>
              </w:rPr>
            </w:pPr>
            <w:r w:rsidRPr="00352ECA">
              <w:rPr>
                <w:rFonts w:ascii="Arial" w:hAnsi="Arial" w:cs="Arial"/>
                <w:b/>
                <w:bCs/>
                <w:sz w:val="24"/>
                <w:szCs w:val="24"/>
              </w:rPr>
              <w:t>Duração do Passivo (anos)</w:t>
            </w:r>
          </w:p>
        </w:tc>
        <w:tc>
          <w:tcPr>
            <w:tcW w:w="6374" w:type="dxa"/>
          </w:tcPr>
          <w:p w:rsidR="00611C8B" w:rsidRPr="00352ECA" w:rsidRDefault="00611C8B" w:rsidP="00611C8B">
            <w:pPr>
              <w:autoSpaceDE w:val="0"/>
              <w:autoSpaceDN w:val="0"/>
              <w:adjustRightInd w:val="0"/>
              <w:ind w:left="426" w:hanging="426"/>
              <w:jc w:val="center"/>
              <w:rPr>
                <w:rFonts w:ascii="Arial" w:hAnsi="Arial" w:cs="Arial"/>
                <w:b/>
                <w:bCs/>
                <w:sz w:val="24"/>
                <w:szCs w:val="24"/>
              </w:rPr>
            </w:pPr>
            <w:r w:rsidRPr="00352ECA">
              <w:rPr>
                <w:rFonts w:ascii="Arial" w:hAnsi="Arial" w:cs="Arial"/>
                <w:b/>
                <w:bCs/>
                <w:sz w:val="24"/>
                <w:szCs w:val="24"/>
              </w:rPr>
              <w:t>Taxa de Juro REAL (% a.a)</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1,00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2,60</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4,24</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10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4,66</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15</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4,83</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4,91</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20,50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4,92</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21</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4,93</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21,50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4,93</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22</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4,94</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22,50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4,94</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lastRenderedPageBreak/>
              <w:t>23</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4,95</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23,5</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4,95</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24</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4,96</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24,50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4,96</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25</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4,97</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25,50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4,97</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26</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4,97</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26,50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4,98</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27</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4,98</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27,50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4,99</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28</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4,99</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28,50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4,99</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29</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4,99</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29,50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5,00</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30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5,00</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31,50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5,00</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32</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5,01</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32,50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5,01</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lastRenderedPageBreak/>
              <w:t>33</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5,01</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33,50</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5,02</w:t>
            </w:r>
          </w:p>
        </w:tc>
      </w:tr>
      <w:tr w:rsidR="00611C8B" w:rsidRPr="00352ECA" w:rsidTr="00611C8B">
        <w:tc>
          <w:tcPr>
            <w:tcW w:w="2972"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34,0 ou mais</w:t>
            </w:r>
          </w:p>
        </w:tc>
        <w:tc>
          <w:tcPr>
            <w:tcW w:w="6374" w:type="dxa"/>
          </w:tcPr>
          <w:p w:rsidR="00611C8B" w:rsidRPr="00352ECA" w:rsidRDefault="00611C8B" w:rsidP="00611C8B">
            <w:pPr>
              <w:autoSpaceDE w:val="0"/>
              <w:autoSpaceDN w:val="0"/>
              <w:adjustRightInd w:val="0"/>
              <w:ind w:left="426" w:hanging="426"/>
              <w:jc w:val="center"/>
              <w:rPr>
                <w:rFonts w:ascii="Arial" w:hAnsi="Arial" w:cs="Arial"/>
                <w:bCs/>
                <w:sz w:val="24"/>
                <w:szCs w:val="24"/>
              </w:rPr>
            </w:pPr>
            <w:r w:rsidRPr="00352ECA">
              <w:rPr>
                <w:rFonts w:ascii="Arial" w:hAnsi="Arial" w:cs="Arial"/>
                <w:bCs/>
                <w:sz w:val="24"/>
                <w:szCs w:val="24"/>
              </w:rPr>
              <w:t>5,04</w:t>
            </w:r>
          </w:p>
        </w:tc>
      </w:tr>
    </w:tbl>
    <w:p w:rsidR="00611C8B" w:rsidRPr="00352ECA"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Pr="00352ECA"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4.1 Segmentos de Aplicação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Esta política de investimentos se refere à alocação dos recursos da entidade entre e em cada um dos seguintes segmentos de aplicação, conforme definidos na legislação: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 Segmento de Renda Fixa</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b) Segmento de Renda Variável e Investimentos Estruturados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c) Segmento de Investimentos no Exterior</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8"/>
          <w:szCs w:val="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4.2 Objetivos da Gestão da Alocação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 gestão da alocação entre os Segmentos tem o objetivo de garantir o equilíbrio de longo prazo entre os ativos e as obrigações do RPPS, através da superação da taxa da meta atuarial (TMA), que é igual à variação do índice de inflação. Além disso, ela complementa a alocação estratégica, fazendo as alterações necessárias para adaptar a alocação de ativos às mudanças no mercado financeiro.</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As aplicações dos recursos dos RPPS poderão ter gestão própria, por entidade credenciada ou mista. Considerando os critérios estabelecidos pela legislação vigente a entidade credenciada deverá ter, no mínimo, solidez patrimonial, volume de recursos e experiência positiva no exercício da atividade de administração de recursos de terceiros.</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4.3 Faixas de Alocação de Recursos</w:t>
      </w: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r w:rsidRPr="00352ECA">
        <w:rPr>
          <w:rFonts w:ascii="Arial" w:hAnsi="Arial" w:cs="Arial"/>
          <w:b/>
          <w:bCs/>
          <w:sz w:val="24"/>
          <w:szCs w:val="24"/>
        </w:rPr>
        <w:t>4.3.1. Segmento de Renda Fixa:</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As aplicações dos recursos do Fundo Previdenciário de Muriaé – Muriaé-Prev em ativos de renda fixa poderão ser feitas por meio de carteira própria, fundos de investimentos ou produtos de investimento. Os fundos de investimentos abertos e/ou fechados, nos quais o RPPS vier a adquirir cotas, deverão seguir a legislação em vigor dos RPPS.</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4.3.2. Segmento de Renda Variável e Investimentos Estruturados: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As aplicações dos recursos do RPPS em ativos de renda variável poderão ser feitas por meio de fundos de investimentos.</w:t>
      </w:r>
    </w:p>
    <w:p w:rsidR="00611C8B" w:rsidRPr="00352ECA" w:rsidRDefault="00611C8B" w:rsidP="00611C8B">
      <w:pPr>
        <w:autoSpaceDE w:val="0"/>
        <w:autoSpaceDN w:val="0"/>
        <w:adjustRightInd w:val="0"/>
        <w:spacing w:after="0" w:line="240" w:lineRule="auto"/>
        <w:ind w:left="426" w:hanging="426"/>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r w:rsidRPr="00352ECA">
        <w:rPr>
          <w:rFonts w:ascii="Arial" w:hAnsi="Arial" w:cs="Arial"/>
          <w:b/>
          <w:bCs/>
          <w:sz w:val="24"/>
          <w:szCs w:val="24"/>
        </w:rPr>
        <w:t>4.3.3. Segmento de Investimentos no Exterior:</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As aplicações dos recursos do RPPS em ativos no exterior poderão ser feitas por meio de fundos de investimentos.</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4.4. Metodologia de Gestão da Alocação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lastRenderedPageBreak/>
        <w:t>A definição estratégica da alocação de recursos nos segmentos acima identificados foi feita com base nas expectativas de retorno de cada segmento de ativos para os próximos 12 meses, em cenários alternativos.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Os cenários de investimento são traçados a partir das perspectivas para o quadro nacional e internacional, da análise do panorama político e da visão para a condução da política econômica e do comportamento das principais variáveis econômicas.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Para as estratégias de curto prazo, a análise se concentra na aversão a risco dos RPPS, em eventos específicos do quadro político e nas projeções para inflação, taxa de juros, atividade econômica e contas externas. A visão de médio prazo procura dar maior peso às perspectivas para o crescimento da economia brasileira e mundial, para a situação geopolítica global, para a estabilidade do cenário político e para a solidez na condução da política econômica.</w:t>
      </w:r>
    </w:p>
    <w:p w:rsidR="00611C8B" w:rsidRPr="00352ECA" w:rsidRDefault="00611C8B" w:rsidP="00611C8B">
      <w:pPr>
        <w:autoSpaceDE w:val="0"/>
        <w:autoSpaceDN w:val="0"/>
        <w:adjustRightInd w:val="0"/>
        <w:spacing w:after="0" w:line="240" w:lineRule="auto"/>
        <w:ind w:left="426" w:hanging="426"/>
        <w:jc w:val="both"/>
        <w:rPr>
          <w:rFonts w:ascii="Arial" w:hAnsi="Arial" w:cs="Arial"/>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Dadas tais expectativas de retorno dos diversos ativos em cada um dos cenários alternativos, a variável chave para a decisão de alocação é a probabilidade de satisfação da meta atuarial no período de 12 meses, aliada à avaliação qualitativa do cenário de curto prazo.</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5. Diretrizes para Gestão dos Segmentos</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8"/>
          <w:szCs w:val="8"/>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5.1 Metodologias de Seleção dos Investimentos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As estratégias e carteiras dos segmentos de Renda Fixa e Renda Variável serão definidas, periodicamente, pelo (s) gestor (es) externo (s), no caso dos recursos geridos por meio de aplicação em Fundos e/ou carteiras administradas, e pela Diretoria Executiva, no caso da carteira própria. Ressalte-se que as informações utilizadas para a construção dos cenários e modelos são obtidas de fontes públicas (bases de dados públicas e de consultorias).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10"/>
          <w:szCs w:val="10"/>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5.2. Segmentos de Renda Fixa</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5.2.1. Tipo de Gestão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O Fundo Previdenciário de Muriaé – Muriaé-Prev optou por uma gestão com perfil moderado, buscando prêmios em relação ao </w:t>
      </w:r>
      <w:r w:rsidRPr="00352ECA">
        <w:rPr>
          <w:rFonts w:ascii="Arial" w:hAnsi="Arial" w:cs="Arial"/>
          <w:sz w:val="25"/>
          <w:szCs w:val="25"/>
        </w:rPr>
        <w:t xml:space="preserve">benchmark </w:t>
      </w:r>
      <w:r w:rsidRPr="00352ECA">
        <w:rPr>
          <w:rFonts w:ascii="Arial" w:hAnsi="Arial" w:cs="Arial"/>
          <w:sz w:val="24"/>
          <w:szCs w:val="24"/>
        </w:rPr>
        <w:t>adotado para a carteira.</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6"/>
          <w:szCs w:val="6"/>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5.2.2. Ativos Autorizados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No segmento de Renda Fixa, estão autorizados todos os ativos permitidos pela legislação vigente. A alocação dos recursos dos planos de benefícios do Fundo Previdenciário de Muriaé – Muriaé-Prev deverá restringir-se aos seguintes ativos e limites, de acordo com a Resolução CMN 3922/10:</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tbl>
      <w:tblPr>
        <w:tblW w:w="10843" w:type="dxa"/>
        <w:tblCellMar>
          <w:left w:w="70" w:type="dxa"/>
          <w:right w:w="70" w:type="dxa"/>
        </w:tblCellMar>
        <w:tblLook w:val="04A0" w:firstRow="1" w:lastRow="0" w:firstColumn="1" w:lastColumn="0" w:noHBand="0" w:noVBand="1"/>
      </w:tblPr>
      <w:tblGrid>
        <w:gridCol w:w="376"/>
        <w:gridCol w:w="3160"/>
        <w:gridCol w:w="5300"/>
        <w:gridCol w:w="2007"/>
      </w:tblGrid>
      <w:tr w:rsidR="00611C8B" w:rsidRPr="00352ECA" w:rsidTr="00731635">
        <w:trPr>
          <w:trHeight w:val="315"/>
        </w:trPr>
        <w:tc>
          <w:tcPr>
            <w:tcW w:w="376"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rPr>
                <w:rFonts w:ascii="Arial" w:eastAsia="Times New Roman" w:hAnsi="Arial" w:cs="Arial"/>
                <w:sz w:val="24"/>
                <w:szCs w:val="24"/>
              </w:rPr>
            </w:pPr>
          </w:p>
        </w:tc>
        <w:tc>
          <w:tcPr>
            <w:tcW w:w="3160"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rPr>
                <w:rFonts w:ascii="Arial" w:eastAsia="Times New Roman" w:hAnsi="Arial" w:cs="Arial"/>
                <w:sz w:val="20"/>
                <w:szCs w:val="20"/>
              </w:rPr>
            </w:pPr>
          </w:p>
        </w:tc>
        <w:tc>
          <w:tcPr>
            <w:tcW w:w="5300"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rPr>
                <w:rFonts w:ascii="Arial" w:eastAsia="Times New Roman" w:hAnsi="Arial" w:cs="Arial"/>
                <w:sz w:val="20"/>
                <w:szCs w:val="20"/>
              </w:rPr>
            </w:pPr>
          </w:p>
        </w:tc>
        <w:tc>
          <w:tcPr>
            <w:tcW w:w="2007"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rPr>
                <w:rFonts w:ascii="Arial" w:eastAsia="Times New Roman" w:hAnsi="Arial" w:cs="Arial"/>
                <w:sz w:val="20"/>
                <w:szCs w:val="20"/>
              </w:rPr>
            </w:pPr>
          </w:p>
        </w:tc>
      </w:tr>
      <w:tr w:rsidR="00611C8B" w:rsidRPr="00352ECA" w:rsidTr="00731635">
        <w:trPr>
          <w:trHeight w:val="705"/>
        </w:trPr>
        <w:tc>
          <w:tcPr>
            <w:tcW w:w="376" w:type="dxa"/>
            <w:tcBorders>
              <w:top w:val="nil"/>
              <w:left w:val="nil"/>
              <w:bottom w:val="nil"/>
              <w:right w:val="nil"/>
            </w:tcBorders>
            <w:shd w:val="clear" w:color="000000" w:fill="FFFFFF"/>
            <w:noWrap/>
            <w:vAlign w:val="center"/>
            <w:hideMark/>
          </w:tcPr>
          <w:p w:rsidR="00611C8B" w:rsidRPr="00352ECA" w:rsidRDefault="00611C8B" w:rsidP="00611C8B">
            <w:pPr>
              <w:spacing w:after="0" w:line="240" w:lineRule="auto"/>
              <w:ind w:left="426" w:hanging="426"/>
              <w:jc w:val="center"/>
              <w:rPr>
                <w:rFonts w:ascii="Arial" w:eastAsia="Times New Roman" w:hAnsi="Arial" w:cs="Arial"/>
                <w:color w:val="000000"/>
                <w:sz w:val="18"/>
                <w:szCs w:val="18"/>
              </w:rPr>
            </w:pPr>
            <w:r w:rsidRPr="00352ECA">
              <w:rPr>
                <w:rFonts w:ascii="Arial" w:eastAsia="Times New Roman" w:hAnsi="Arial" w:cs="Arial"/>
                <w:color w:val="000000"/>
                <w:sz w:val="18"/>
                <w:szCs w:val="18"/>
              </w:rPr>
              <w:t> </w:t>
            </w:r>
          </w:p>
        </w:tc>
        <w:tc>
          <w:tcPr>
            <w:tcW w:w="31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color w:val="000000"/>
                <w:sz w:val="18"/>
                <w:szCs w:val="18"/>
                <w:u w:val="single"/>
              </w:rPr>
            </w:pPr>
            <w:r w:rsidRPr="00352ECA">
              <w:rPr>
                <w:rFonts w:ascii="Arial" w:eastAsia="Times New Roman" w:hAnsi="Arial" w:cs="Arial"/>
                <w:color w:val="000000"/>
                <w:sz w:val="18"/>
                <w:szCs w:val="18"/>
                <w:u w:val="single"/>
              </w:rPr>
              <w:t>ENQUADRAMENTO</w:t>
            </w:r>
          </w:p>
        </w:tc>
        <w:tc>
          <w:tcPr>
            <w:tcW w:w="5300" w:type="dxa"/>
            <w:tcBorders>
              <w:top w:val="single" w:sz="4" w:space="0" w:color="auto"/>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color w:val="000000"/>
                <w:sz w:val="18"/>
                <w:szCs w:val="18"/>
                <w:u w:val="single"/>
              </w:rPr>
            </w:pPr>
            <w:r w:rsidRPr="00352ECA">
              <w:rPr>
                <w:rFonts w:ascii="Arial" w:eastAsia="Times New Roman" w:hAnsi="Arial" w:cs="Arial"/>
                <w:color w:val="000000"/>
                <w:sz w:val="18"/>
                <w:szCs w:val="18"/>
                <w:u w:val="single"/>
              </w:rPr>
              <w:t> </w:t>
            </w:r>
          </w:p>
        </w:tc>
        <w:tc>
          <w:tcPr>
            <w:tcW w:w="2007" w:type="dxa"/>
            <w:tcBorders>
              <w:top w:val="single" w:sz="4" w:space="0" w:color="auto"/>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sz w:val="18"/>
                <w:szCs w:val="18"/>
                <w:u w:val="single"/>
              </w:rPr>
            </w:pPr>
            <w:r w:rsidRPr="00352ECA">
              <w:rPr>
                <w:rFonts w:ascii="Arial" w:eastAsia="Times New Roman" w:hAnsi="Arial" w:cs="Arial"/>
                <w:b/>
                <w:bCs/>
                <w:color w:val="000000"/>
                <w:sz w:val="18"/>
                <w:szCs w:val="18"/>
                <w:u w:val="single"/>
              </w:rPr>
              <w:t>LIMITE RESOLUÇÃO</w:t>
            </w:r>
          </w:p>
        </w:tc>
      </w:tr>
      <w:tr w:rsidR="00611C8B" w:rsidRPr="00352ECA" w:rsidTr="00731635">
        <w:trPr>
          <w:trHeight w:val="315"/>
        </w:trPr>
        <w:tc>
          <w:tcPr>
            <w:tcW w:w="376" w:type="dxa"/>
            <w:vMerge w:val="restart"/>
            <w:tcBorders>
              <w:top w:val="single" w:sz="4" w:space="0" w:color="auto"/>
              <w:left w:val="single" w:sz="4" w:space="0" w:color="auto"/>
              <w:bottom w:val="single" w:sz="4" w:space="0" w:color="000000"/>
              <w:right w:val="single" w:sz="4" w:space="0" w:color="auto"/>
            </w:tcBorders>
            <w:shd w:val="clear" w:color="000000" w:fill="C0C0C0"/>
            <w:noWrap/>
            <w:textDirection w:val="btLr"/>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sz w:val="20"/>
                <w:szCs w:val="20"/>
              </w:rPr>
            </w:pPr>
            <w:r w:rsidRPr="00352ECA">
              <w:rPr>
                <w:rFonts w:ascii="Arial" w:eastAsia="Times New Roman" w:hAnsi="Arial" w:cs="Arial"/>
                <w:b/>
                <w:bCs/>
                <w:color w:val="000000"/>
                <w:sz w:val="20"/>
                <w:szCs w:val="20"/>
              </w:rPr>
              <w:t>RENDA FIXA</w:t>
            </w: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 Alínea "a"</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 Títulos Públicos</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 Alínea "b"</w:t>
            </w:r>
          </w:p>
        </w:tc>
        <w:tc>
          <w:tcPr>
            <w:tcW w:w="530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Renda Fixa Referenciados - 100% TP</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 Alínea "c"</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Índice Renda Fixa Negociáveis em Bolsa TP</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II</w:t>
            </w:r>
          </w:p>
        </w:tc>
        <w:tc>
          <w:tcPr>
            <w:tcW w:w="5300" w:type="dxa"/>
            <w:tcBorders>
              <w:top w:val="nil"/>
              <w:left w:val="nil"/>
              <w:bottom w:val="single" w:sz="4" w:space="0" w:color="auto"/>
              <w:right w:val="single" w:sz="4" w:space="0" w:color="auto"/>
            </w:tcBorders>
            <w:shd w:val="clear" w:color="000000" w:fill="F2F2F2"/>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Operações compromissadas</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5,00%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III, Alínea "a"</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Renda Fixa Referenciados</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60,00%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III, Alínea "b"</w:t>
            </w:r>
          </w:p>
        </w:tc>
        <w:tc>
          <w:tcPr>
            <w:tcW w:w="5300" w:type="dxa"/>
            <w:tcBorders>
              <w:top w:val="nil"/>
              <w:left w:val="nil"/>
              <w:bottom w:val="single" w:sz="4" w:space="0" w:color="auto"/>
              <w:right w:val="single" w:sz="4" w:space="0" w:color="auto"/>
            </w:tcBorders>
            <w:shd w:val="clear" w:color="000000" w:fill="F2F2F2"/>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 xml:space="preserve">Fundos de Índice Renda Fixa Negociáveis em Bolsa </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60,00%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IV, Alínea "a"</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Renda Fixa</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40,00%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IV, Alínea "b"</w:t>
            </w:r>
          </w:p>
        </w:tc>
        <w:tc>
          <w:tcPr>
            <w:tcW w:w="5300" w:type="dxa"/>
            <w:tcBorders>
              <w:top w:val="nil"/>
              <w:left w:val="nil"/>
              <w:bottom w:val="single" w:sz="4" w:space="0" w:color="auto"/>
              <w:right w:val="single" w:sz="4" w:space="0" w:color="auto"/>
            </w:tcBorders>
            <w:shd w:val="clear" w:color="000000" w:fill="F2F2F2"/>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Índice de Renda Fixa</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40,00%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V, Alínea "b"</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Letras Imobiliárias Garantidas</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20,00%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VI, Alínea "a"</w:t>
            </w:r>
          </w:p>
        </w:tc>
        <w:tc>
          <w:tcPr>
            <w:tcW w:w="530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Certificado de Depósito Bancário (CDB)</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15,00%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VI, Alínea "b"</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Depósito de Poupança</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15,00%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VII, Alínea "a"</w:t>
            </w:r>
          </w:p>
        </w:tc>
        <w:tc>
          <w:tcPr>
            <w:tcW w:w="5300" w:type="dxa"/>
            <w:tcBorders>
              <w:top w:val="nil"/>
              <w:left w:val="nil"/>
              <w:bottom w:val="single" w:sz="4" w:space="0" w:color="auto"/>
              <w:right w:val="single" w:sz="4" w:space="0" w:color="auto"/>
            </w:tcBorders>
            <w:shd w:val="clear" w:color="000000" w:fill="F2F2F2"/>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Cota Sênior - FIDC</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5,00%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VII, Alínea "b"</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Renda Fixa "Crédito Privado"</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5,00%</w:t>
            </w:r>
          </w:p>
        </w:tc>
      </w:tr>
      <w:tr w:rsidR="00611C8B" w:rsidRPr="00352ECA" w:rsidTr="00731635">
        <w:trPr>
          <w:trHeight w:val="315"/>
        </w:trPr>
        <w:tc>
          <w:tcPr>
            <w:tcW w:w="376" w:type="dxa"/>
            <w:vMerge/>
            <w:tcBorders>
              <w:top w:val="single" w:sz="4" w:space="0" w:color="auto"/>
              <w:left w:val="single" w:sz="4" w:space="0" w:color="auto"/>
              <w:bottom w:val="single" w:sz="4" w:space="0" w:color="000000"/>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7º, Inciso VII, Alínea "c"</w:t>
            </w:r>
          </w:p>
        </w:tc>
        <w:tc>
          <w:tcPr>
            <w:tcW w:w="530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com 85% de Debêntures</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5,00%</w:t>
            </w:r>
          </w:p>
        </w:tc>
      </w:tr>
      <w:tr w:rsidR="00611C8B" w:rsidRPr="00352ECA" w:rsidTr="00731635">
        <w:trPr>
          <w:trHeight w:val="315"/>
        </w:trPr>
        <w:tc>
          <w:tcPr>
            <w:tcW w:w="376" w:type="dxa"/>
            <w:tcBorders>
              <w:top w:val="nil"/>
              <w:left w:val="nil"/>
              <w:bottom w:val="nil"/>
              <w:right w:val="nil"/>
            </w:tcBorders>
            <w:shd w:val="clear" w:color="000000" w:fill="FFFFFF"/>
            <w:noWrap/>
            <w:vAlign w:val="center"/>
            <w:hideMark/>
          </w:tcPr>
          <w:p w:rsidR="00611C8B" w:rsidRPr="00352ECA" w:rsidRDefault="00611C8B" w:rsidP="00611C8B">
            <w:pPr>
              <w:spacing w:after="0" w:line="240" w:lineRule="auto"/>
              <w:ind w:left="426" w:hanging="426"/>
              <w:jc w:val="center"/>
              <w:rPr>
                <w:rFonts w:ascii="Arial" w:eastAsia="Times New Roman" w:hAnsi="Arial" w:cs="Arial"/>
              </w:rPr>
            </w:pPr>
            <w:r w:rsidRPr="00352ECA">
              <w:rPr>
                <w:rFonts w:ascii="Arial" w:eastAsia="Times New Roman" w:hAnsi="Arial" w:cs="Arial"/>
              </w:rPr>
              <w:t> </w:t>
            </w:r>
          </w:p>
        </w:tc>
        <w:tc>
          <w:tcPr>
            <w:tcW w:w="3160" w:type="dxa"/>
            <w:tcBorders>
              <w:top w:val="nil"/>
              <w:left w:val="nil"/>
              <w:bottom w:val="nil"/>
              <w:right w:val="nil"/>
            </w:tcBorders>
            <w:shd w:val="clear" w:color="000000" w:fill="FFFFFF"/>
            <w:noWrap/>
            <w:vAlign w:val="center"/>
            <w:hideMark/>
          </w:tcPr>
          <w:p w:rsidR="00611C8B" w:rsidRPr="00352ECA" w:rsidRDefault="00611C8B" w:rsidP="00611C8B">
            <w:pPr>
              <w:spacing w:after="0" w:line="240" w:lineRule="auto"/>
              <w:ind w:left="426" w:hanging="426"/>
              <w:jc w:val="center"/>
              <w:rPr>
                <w:rFonts w:ascii="Arial" w:eastAsia="Times New Roman" w:hAnsi="Arial" w:cs="Arial"/>
              </w:rPr>
            </w:pPr>
            <w:r w:rsidRPr="00352ECA">
              <w:rPr>
                <w:rFonts w:ascii="Arial" w:eastAsia="Times New Roman" w:hAnsi="Arial" w:cs="Arial"/>
              </w:rPr>
              <w:t> </w:t>
            </w:r>
          </w:p>
        </w:tc>
        <w:tc>
          <w:tcPr>
            <w:tcW w:w="5300" w:type="dxa"/>
            <w:tcBorders>
              <w:top w:val="nil"/>
              <w:left w:val="nil"/>
              <w:bottom w:val="nil"/>
              <w:right w:val="nil"/>
            </w:tcBorders>
            <w:shd w:val="clear" w:color="000000" w:fill="FFFFFF"/>
            <w:noWrap/>
            <w:vAlign w:val="center"/>
            <w:hideMark/>
          </w:tcPr>
          <w:p w:rsidR="00611C8B" w:rsidRPr="00352ECA" w:rsidRDefault="00611C8B" w:rsidP="00611C8B">
            <w:pPr>
              <w:spacing w:after="0" w:line="240" w:lineRule="auto"/>
              <w:ind w:left="426" w:hanging="426"/>
              <w:jc w:val="center"/>
              <w:rPr>
                <w:rFonts w:ascii="Arial" w:eastAsia="Times New Roman" w:hAnsi="Arial" w:cs="Arial"/>
              </w:rPr>
            </w:pPr>
            <w:r w:rsidRPr="00352ECA">
              <w:rPr>
                <w:rFonts w:ascii="Arial" w:eastAsia="Times New Roman" w:hAnsi="Arial" w:cs="Arial"/>
              </w:rPr>
              <w:t> </w:t>
            </w:r>
          </w:p>
        </w:tc>
        <w:tc>
          <w:tcPr>
            <w:tcW w:w="2007" w:type="dxa"/>
            <w:tcBorders>
              <w:top w:val="nil"/>
              <w:left w:val="nil"/>
              <w:bottom w:val="nil"/>
              <w:right w:val="nil"/>
            </w:tcBorders>
            <w:shd w:val="clear" w:color="000000" w:fill="FFFFFF"/>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rPr>
            </w:pPr>
            <w:r w:rsidRPr="00352ECA">
              <w:rPr>
                <w:rFonts w:ascii="Arial" w:eastAsia="Times New Roman" w:hAnsi="Arial" w:cs="Arial"/>
                <w:b/>
                <w:bCs/>
              </w:rPr>
              <w:t> </w:t>
            </w:r>
          </w:p>
        </w:tc>
      </w:tr>
      <w:tr w:rsidR="00611C8B" w:rsidRPr="00352ECA" w:rsidTr="00731635">
        <w:trPr>
          <w:trHeight w:val="315"/>
        </w:trPr>
        <w:tc>
          <w:tcPr>
            <w:tcW w:w="376" w:type="dxa"/>
            <w:vMerge w:val="restart"/>
            <w:tcBorders>
              <w:top w:val="single" w:sz="4" w:space="0" w:color="auto"/>
              <w:left w:val="nil"/>
              <w:bottom w:val="nil"/>
              <w:right w:val="single" w:sz="4" w:space="0" w:color="auto"/>
            </w:tcBorders>
            <w:shd w:val="clear" w:color="000000" w:fill="C0C0C0"/>
            <w:textDirection w:val="btLr"/>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sz w:val="20"/>
                <w:szCs w:val="20"/>
              </w:rPr>
            </w:pPr>
            <w:r w:rsidRPr="00352ECA">
              <w:rPr>
                <w:rFonts w:ascii="Arial" w:eastAsia="Times New Roman" w:hAnsi="Arial" w:cs="Arial"/>
                <w:b/>
                <w:bCs/>
                <w:color w:val="000000"/>
                <w:sz w:val="20"/>
                <w:szCs w:val="20"/>
              </w:rPr>
              <w:t>RENDA VARIÁVEL</w:t>
            </w:r>
          </w:p>
        </w:tc>
        <w:tc>
          <w:tcPr>
            <w:tcW w:w="3160" w:type="dxa"/>
            <w:tcBorders>
              <w:top w:val="single" w:sz="4" w:space="0" w:color="auto"/>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 Alínea "a"</w:t>
            </w:r>
          </w:p>
        </w:tc>
        <w:tc>
          <w:tcPr>
            <w:tcW w:w="5300" w:type="dxa"/>
            <w:tcBorders>
              <w:top w:val="single" w:sz="4" w:space="0" w:color="auto"/>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Renda Variável</w:t>
            </w:r>
          </w:p>
        </w:tc>
        <w:tc>
          <w:tcPr>
            <w:tcW w:w="2007" w:type="dxa"/>
            <w:tcBorders>
              <w:top w:val="single" w:sz="4" w:space="0" w:color="auto"/>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30,00%</w:t>
            </w:r>
          </w:p>
        </w:tc>
      </w:tr>
      <w:tr w:rsidR="00611C8B" w:rsidRPr="00352ECA" w:rsidTr="00731635">
        <w:trPr>
          <w:trHeight w:val="315"/>
        </w:trPr>
        <w:tc>
          <w:tcPr>
            <w:tcW w:w="376" w:type="dxa"/>
            <w:vMerge/>
            <w:tcBorders>
              <w:top w:val="single" w:sz="4" w:space="0" w:color="auto"/>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 Alínea "b"</w:t>
            </w:r>
          </w:p>
        </w:tc>
        <w:tc>
          <w:tcPr>
            <w:tcW w:w="530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Índice de Renda Variável</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30,00%</w:t>
            </w:r>
          </w:p>
        </w:tc>
      </w:tr>
      <w:tr w:rsidR="00611C8B" w:rsidRPr="00352ECA" w:rsidTr="00731635">
        <w:trPr>
          <w:trHeight w:val="315"/>
        </w:trPr>
        <w:tc>
          <w:tcPr>
            <w:tcW w:w="376" w:type="dxa"/>
            <w:vMerge/>
            <w:tcBorders>
              <w:top w:val="single" w:sz="4" w:space="0" w:color="auto"/>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II, Alínea "a"</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Renda Variável - Ações</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20,00%</w:t>
            </w:r>
          </w:p>
        </w:tc>
      </w:tr>
      <w:tr w:rsidR="00611C8B" w:rsidRPr="00352ECA" w:rsidTr="00731635">
        <w:trPr>
          <w:trHeight w:val="315"/>
        </w:trPr>
        <w:tc>
          <w:tcPr>
            <w:tcW w:w="376" w:type="dxa"/>
            <w:vMerge/>
            <w:tcBorders>
              <w:top w:val="single" w:sz="4" w:space="0" w:color="auto"/>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II, Alínea "b"</w:t>
            </w:r>
          </w:p>
        </w:tc>
        <w:tc>
          <w:tcPr>
            <w:tcW w:w="5300" w:type="dxa"/>
            <w:tcBorders>
              <w:top w:val="nil"/>
              <w:left w:val="nil"/>
              <w:bottom w:val="single" w:sz="4" w:space="0" w:color="auto"/>
              <w:right w:val="single" w:sz="4" w:space="0" w:color="auto"/>
            </w:tcBorders>
            <w:shd w:val="clear" w:color="000000" w:fill="F2F2F2"/>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Índice de Renda Variável</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20,00%</w:t>
            </w:r>
          </w:p>
        </w:tc>
      </w:tr>
      <w:tr w:rsidR="00611C8B" w:rsidRPr="00352ECA" w:rsidTr="00731635">
        <w:trPr>
          <w:trHeight w:val="315"/>
        </w:trPr>
        <w:tc>
          <w:tcPr>
            <w:tcW w:w="376" w:type="dxa"/>
            <w:vMerge/>
            <w:tcBorders>
              <w:top w:val="single" w:sz="4" w:space="0" w:color="auto"/>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III</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Renda Variável Multimercados</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10,00%</w:t>
            </w:r>
          </w:p>
        </w:tc>
      </w:tr>
      <w:tr w:rsidR="00611C8B" w:rsidRPr="00352ECA" w:rsidTr="00731635">
        <w:trPr>
          <w:trHeight w:val="315"/>
        </w:trPr>
        <w:tc>
          <w:tcPr>
            <w:tcW w:w="376" w:type="dxa"/>
            <w:vMerge/>
            <w:tcBorders>
              <w:top w:val="single" w:sz="4" w:space="0" w:color="auto"/>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IV, Alínea "a"</w:t>
            </w:r>
          </w:p>
        </w:tc>
        <w:tc>
          <w:tcPr>
            <w:tcW w:w="5300" w:type="dxa"/>
            <w:tcBorders>
              <w:top w:val="nil"/>
              <w:left w:val="nil"/>
              <w:bottom w:val="single" w:sz="4" w:space="0" w:color="auto"/>
              <w:right w:val="single" w:sz="4" w:space="0" w:color="auto"/>
            </w:tcBorders>
            <w:shd w:val="clear" w:color="auto" w:fill="auto"/>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Investimentos em Participações - FIP</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5,00%</w:t>
            </w:r>
          </w:p>
        </w:tc>
      </w:tr>
      <w:tr w:rsidR="00611C8B" w:rsidRPr="00352ECA" w:rsidTr="00731635">
        <w:trPr>
          <w:trHeight w:val="315"/>
        </w:trPr>
        <w:tc>
          <w:tcPr>
            <w:tcW w:w="376" w:type="dxa"/>
            <w:vMerge/>
            <w:tcBorders>
              <w:top w:val="single" w:sz="4" w:space="0" w:color="auto"/>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IV, Alínea "b"</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Investimentos Imobiliários - FII</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5,00%</w:t>
            </w:r>
          </w:p>
        </w:tc>
      </w:tr>
      <w:tr w:rsidR="00611C8B" w:rsidRPr="00352ECA" w:rsidTr="00731635">
        <w:trPr>
          <w:trHeight w:val="315"/>
        </w:trPr>
        <w:tc>
          <w:tcPr>
            <w:tcW w:w="376" w:type="dxa"/>
            <w:vMerge/>
            <w:tcBorders>
              <w:top w:val="single" w:sz="4" w:space="0" w:color="auto"/>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8º, Inciso IV, Alínea "c"</w:t>
            </w:r>
          </w:p>
        </w:tc>
        <w:tc>
          <w:tcPr>
            <w:tcW w:w="5300" w:type="dxa"/>
            <w:tcBorders>
              <w:top w:val="nil"/>
              <w:left w:val="nil"/>
              <w:bottom w:val="single" w:sz="4" w:space="0" w:color="auto"/>
              <w:right w:val="single" w:sz="4" w:space="0" w:color="auto"/>
            </w:tcBorders>
            <w:shd w:val="clear" w:color="auto" w:fill="auto"/>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FI Ações - Mercado de Acesso</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5,00%</w:t>
            </w:r>
          </w:p>
        </w:tc>
      </w:tr>
      <w:tr w:rsidR="00611C8B" w:rsidRPr="00352ECA" w:rsidTr="00731635">
        <w:trPr>
          <w:trHeight w:val="315"/>
        </w:trPr>
        <w:tc>
          <w:tcPr>
            <w:tcW w:w="376"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p>
        </w:tc>
        <w:tc>
          <w:tcPr>
            <w:tcW w:w="3160"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rPr>
                <w:rFonts w:ascii="Arial" w:eastAsia="Times New Roman" w:hAnsi="Arial" w:cs="Arial"/>
                <w:sz w:val="20"/>
                <w:szCs w:val="20"/>
              </w:rPr>
            </w:pPr>
          </w:p>
        </w:tc>
        <w:tc>
          <w:tcPr>
            <w:tcW w:w="5300"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rPr>
                <w:rFonts w:ascii="Arial" w:eastAsia="Times New Roman" w:hAnsi="Arial" w:cs="Arial"/>
                <w:sz w:val="20"/>
                <w:szCs w:val="20"/>
              </w:rPr>
            </w:pPr>
          </w:p>
        </w:tc>
        <w:tc>
          <w:tcPr>
            <w:tcW w:w="2007" w:type="dxa"/>
            <w:tcBorders>
              <w:top w:val="nil"/>
              <w:left w:val="nil"/>
              <w:bottom w:val="nil"/>
              <w:right w:val="nil"/>
            </w:tcBorders>
            <w:shd w:val="clear" w:color="auto" w:fill="auto"/>
            <w:noWrap/>
            <w:vAlign w:val="bottom"/>
            <w:hideMark/>
          </w:tcPr>
          <w:p w:rsidR="00611C8B" w:rsidRPr="00352ECA" w:rsidRDefault="00611C8B" w:rsidP="00611C8B">
            <w:pPr>
              <w:spacing w:after="0" w:line="240" w:lineRule="auto"/>
              <w:ind w:left="426" w:hanging="426"/>
              <w:rPr>
                <w:rFonts w:ascii="Arial" w:eastAsia="Times New Roman" w:hAnsi="Arial" w:cs="Arial"/>
                <w:sz w:val="20"/>
                <w:szCs w:val="20"/>
              </w:rPr>
            </w:pPr>
          </w:p>
        </w:tc>
      </w:tr>
      <w:tr w:rsidR="00611C8B" w:rsidRPr="00352ECA" w:rsidTr="00731635">
        <w:trPr>
          <w:trHeight w:val="315"/>
        </w:trPr>
        <w:tc>
          <w:tcPr>
            <w:tcW w:w="376" w:type="dxa"/>
            <w:vMerge w:val="restart"/>
            <w:tcBorders>
              <w:top w:val="nil"/>
              <w:left w:val="nil"/>
              <w:bottom w:val="nil"/>
              <w:right w:val="single" w:sz="4" w:space="0" w:color="auto"/>
            </w:tcBorders>
            <w:shd w:val="clear" w:color="000000" w:fill="C0C0C0"/>
            <w:textDirection w:val="btLr"/>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sz w:val="20"/>
                <w:szCs w:val="20"/>
              </w:rPr>
            </w:pPr>
            <w:r w:rsidRPr="00352ECA">
              <w:rPr>
                <w:rFonts w:ascii="Arial" w:eastAsia="Times New Roman" w:hAnsi="Arial" w:cs="Arial"/>
                <w:b/>
                <w:bCs/>
                <w:color w:val="000000"/>
                <w:sz w:val="20"/>
                <w:szCs w:val="20"/>
              </w:rPr>
              <w:lastRenderedPageBreak/>
              <w:t>EXTERIOR</w:t>
            </w:r>
          </w:p>
        </w:tc>
        <w:tc>
          <w:tcPr>
            <w:tcW w:w="3160" w:type="dxa"/>
            <w:tcBorders>
              <w:top w:val="single" w:sz="4" w:space="0" w:color="auto"/>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9º - A, Inciso I</w:t>
            </w:r>
          </w:p>
        </w:tc>
        <w:tc>
          <w:tcPr>
            <w:tcW w:w="5300" w:type="dxa"/>
            <w:tcBorders>
              <w:top w:val="single" w:sz="4" w:space="0" w:color="auto"/>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FIC e FIC FI - Renda Fixa - Dívida Externa</w:t>
            </w:r>
          </w:p>
        </w:tc>
        <w:tc>
          <w:tcPr>
            <w:tcW w:w="2007" w:type="dxa"/>
            <w:tcBorders>
              <w:top w:val="single" w:sz="4" w:space="0" w:color="auto"/>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10,00%</w:t>
            </w:r>
          </w:p>
        </w:tc>
      </w:tr>
      <w:tr w:rsidR="00611C8B" w:rsidRPr="00352ECA" w:rsidTr="00731635">
        <w:trPr>
          <w:trHeight w:val="315"/>
        </w:trPr>
        <w:tc>
          <w:tcPr>
            <w:tcW w:w="376" w:type="dxa"/>
            <w:vMerge/>
            <w:tcBorders>
              <w:top w:val="nil"/>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9º - A, Inciso II</w:t>
            </w:r>
          </w:p>
        </w:tc>
        <w:tc>
          <w:tcPr>
            <w:tcW w:w="5300"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FIC - Aberto - Investimento no Exterior</w:t>
            </w:r>
          </w:p>
        </w:tc>
        <w:tc>
          <w:tcPr>
            <w:tcW w:w="2007" w:type="dxa"/>
            <w:tcBorders>
              <w:top w:val="nil"/>
              <w:left w:val="nil"/>
              <w:bottom w:val="single" w:sz="4" w:space="0" w:color="auto"/>
              <w:right w:val="single" w:sz="4" w:space="0" w:color="auto"/>
            </w:tcBorders>
            <w:shd w:val="clear" w:color="000000" w:fill="FFFFFF"/>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10,00%</w:t>
            </w:r>
          </w:p>
        </w:tc>
      </w:tr>
      <w:tr w:rsidR="00611C8B" w:rsidRPr="00352ECA" w:rsidTr="00731635">
        <w:trPr>
          <w:trHeight w:val="315"/>
        </w:trPr>
        <w:tc>
          <w:tcPr>
            <w:tcW w:w="376" w:type="dxa"/>
            <w:vMerge/>
            <w:tcBorders>
              <w:top w:val="nil"/>
              <w:left w:val="nil"/>
              <w:bottom w:val="nil"/>
              <w:right w:val="single" w:sz="4" w:space="0" w:color="auto"/>
            </w:tcBorders>
            <w:vAlign w:val="center"/>
            <w:hideMark/>
          </w:tcPr>
          <w:p w:rsidR="00611C8B" w:rsidRPr="00352ECA" w:rsidRDefault="00611C8B" w:rsidP="00611C8B">
            <w:pPr>
              <w:spacing w:after="0" w:line="240" w:lineRule="auto"/>
              <w:ind w:left="426" w:hanging="426"/>
              <w:rPr>
                <w:rFonts w:ascii="Arial" w:eastAsia="Times New Roman" w:hAnsi="Arial" w:cs="Arial"/>
                <w:b/>
                <w:bCs/>
                <w:color w:val="000000"/>
                <w:sz w:val="20"/>
                <w:szCs w:val="20"/>
              </w:rPr>
            </w:pPr>
          </w:p>
        </w:tc>
        <w:tc>
          <w:tcPr>
            <w:tcW w:w="3160"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rPr>
                <w:rFonts w:ascii="Arial" w:eastAsia="Times New Roman" w:hAnsi="Arial" w:cs="Arial"/>
                <w:b/>
                <w:bCs/>
                <w:color w:val="000000"/>
              </w:rPr>
            </w:pPr>
            <w:r w:rsidRPr="00352ECA">
              <w:rPr>
                <w:rFonts w:ascii="Arial" w:eastAsia="Times New Roman" w:hAnsi="Arial" w:cs="Arial"/>
                <w:b/>
                <w:bCs/>
                <w:color w:val="000000"/>
              </w:rPr>
              <w:t>Artigo 9º - A, Inciso III</w:t>
            </w:r>
          </w:p>
        </w:tc>
        <w:tc>
          <w:tcPr>
            <w:tcW w:w="5300" w:type="dxa"/>
            <w:tcBorders>
              <w:top w:val="nil"/>
              <w:left w:val="nil"/>
              <w:bottom w:val="single" w:sz="4" w:space="0" w:color="auto"/>
              <w:right w:val="single" w:sz="4" w:space="0" w:color="auto"/>
            </w:tcBorders>
            <w:shd w:val="clear" w:color="000000" w:fill="D9D9D9"/>
            <w:noWrap/>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Fundos de Ações – BDR Nível I</w:t>
            </w:r>
          </w:p>
        </w:tc>
        <w:tc>
          <w:tcPr>
            <w:tcW w:w="2007" w:type="dxa"/>
            <w:tcBorders>
              <w:top w:val="nil"/>
              <w:left w:val="nil"/>
              <w:bottom w:val="single" w:sz="4" w:space="0" w:color="auto"/>
              <w:right w:val="single" w:sz="4" w:space="0" w:color="auto"/>
            </w:tcBorders>
            <w:shd w:val="clear" w:color="000000" w:fill="D9D9D9"/>
            <w:vAlign w:val="center"/>
            <w:hideMark/>
          </w:tcPr>
          <w:p w:rsidR="00611C8B" w:rsidRPr="00352ECA" w:rsidRDefault="00611C8B" w:rsidP="00611C8B">
            <w:pPr>
              <w:spacing w:after="0" w:line="240" w:lineRule="auto"/>
              <w:ind w:left="426" w:hanging="426"/>
              <w:jc w:val="center"/>
              <w:rPr>
                <w:rFonts w:ascii="Arial" w:eastAsia="Times New Roman" w:hAnsi="Arial" w:cs="Arial"/>
                <w:b/>
                <w:bCs/>
                <w:color w:val="000000"/>
              </w:rPr>
            </w:pPr>
            <w:r w:rsidRPr="00352ECA">
              <w:rPr>
                <w:rFonts w:ascii="Arial" w:eastAsia="Times New Roman" w:hAnsi="Arial" w:cs="Arial"/>
                <w:b/>
                <w:bCs/>
                <w:color w:val="000000"/>
              </w:rPr>
              <w:t>10,00%</w:t>
            </w:r>
          </w:p>
        </w:tc>
      </w:tr>
    </w:tbl>
    <w:p w:rsidR="00611C8B" w:rsidRPr="00352ECA" w:rsidRDefault="00611C8B" w:rsidP="00611C8B">
      <w:pPr>
        <w:autoSpaceDE w:val="0"/>
        <w:autoSpaceDN w:val="0"/>
        <w:adjustRightInd w:val="0"/>
        <w:spacing w:after="0" w:line="240" w:lineRule="auto"/>
        <w:ind w:left="426" w:hanging="426"/>
        <w:jc w:val="both"/>
        <w:rPr>
          <w:rFonts w:ascii="Arial" w:hAnsi="Arial" w:cs="Arial"/>
          <w:b/>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rPr>
          <w:rFonts w:ascii="Arial" w:hAnsi="Arial" w:cs="Arial"/>
          <w:b/>
          <w:bCs/>
          <w:sz w:val="6"/>
          <w:szCs w:val="6"/>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rPr>
      </w:pPr>
      <w:r w:rsidRPr="00352ECA">
        <w:rPr>
          <w:rFonts w:ascii="Arial" w:hAnsi="Arial" w:cs="Arial"/>
          <w:b/>
          <w:bCs/>
          <w:sz w:val="24"/>
          <w:szCs w:val="24"/>
        </w:rPr>
        <w:t xml:space="preserve">6. </w:t>
      </w:r>
      <w:r w:rsidRPr="00352ECA">
        <w:rPr>
          <w:rFonts w:ascii="Arial" w:hAnsi="Arial" w:cs="Arial"/>
          <w:b/>
          <w:bCs/>
        </w:rPr>
        <w:t>CRITÉRIOS DE CREDENCIAMENTO E SELEÇÃO DE GESTORES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Para a seleção de instituições financeiras autorizadas a operar com o Fundo Previdenciário de Muriaé – Muriaé-Prev será constituído processo de credenciamento sobre a figura do administrador e do gestor do fundo de investimento conforme disposto na Resolução CMN nº. 3922, de 25 de novembro de 2010 e as Portarias MPS nº 519/2011 (texto consolidado), abaixo: </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“IX - na gestão própria, antes da realização de qualquer operação, assegurar que as instituições escolhidas para receber as aplicações tenham sido objeto de prévio credenciamento. (Redação dada pela Portaria MPS nº 440, de 09/10/2013) ”.</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“Gestão Própria: quando o RPPS realiza diretamente a execução da política de investimentos de sua carteira, decidindo sobre as alocações dos recursos, respeitados os parâmetros da legislação”.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O processo consistirá de busca de informações junto às instituições financeiras de questionário modelo - </w:t>
      </w:r>
      <w:r w:rsidRPr="00352ECA">
        <w:rPr>
          <w:rFonts w:ascii="Arial" w:hAnsi="Arial" w:cs="Arial"/>
          <w:b/>
          <w:bCs/>
          <w:sz w:val="20"/>
          <w:szCs w:val="20"/>
        </w:rPr>
        <w:t>QUESTIONÁRIO PADRÃO ANBIMA DUE DILIGENCE PARA FUNDOS DE INVESTIMENTO – SEÇÃO I, SEÇÃO II e SEÇÃO III</w:t>
      </w:r>
      <w:r w:rsidRPr="00352ECA">
        <w:rPr>
          <w:rFonts w:ascii="Arial" w:hAnsi="Arial" w:cs="Arial"/>
          <w:b/>
          <w:bCs/>
          <w:sz w:val="24"/>
          <w:szCs w:val="24"/>
        </w:rPr>
        <w:t xml:space="preserve">) </w:t>
      </w:r>
      <w:r w:rsidRPr="00352ECA">
        <w:rPr>
          <w:rFonts w:ascii="Arial" w:hAnsi="Arial" w:cs="Arial"/>
          <w:sz w:val="24"/>
          <w:szCs w:val="24"/>
        </w:rPr>
        <w:t>que contemplará a análise dos seguintes quesitos, atestado formalmente pelo representante legal do RPPS.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sz w:val="24"/>
          <w:szCs w:val="24"/>
        </w:rPr>
      </w:pPr>
      <w:r w:rsidRPr="00352ECA">
        <w:rPr>
          <w:rFonts w:ascii="Arial" w:hAnsi="Arial" w:cs="Arial"/>
          <w:b/>
          <w:sz w:val="24"/>
          <w:szCs w:val="24"/>
        </w:rPr>
        <w:t>6.1. Em relação à instituição financeira (</w:t>
      </w:r>
      <w:r w:rsidRPr="00352ECA">
        <w:rPr>
          <w:rFonts w:ascii="Arial" w:hAnsi="Arial" w:cs="Arial"/>
          <w:b/>
          <w:sz w:val="24"/>
          <w:szCs w:val="24"/>
          <w:u w:val="single"/>
        </w:rPr>
        <w:t>administrador e gestor do fundo de investimento</w:t>
      </w:r>
      <w:r w:rsidRPr="00352ECA">
        <w:rPr>
          <w:rFonts w:ascii="Arial" w:hAnsi="Arial" w:cs="Arial"/>
          <w:b/>
          <w:sz w:val="24"/>
          <w:szCs w:val="24"/>
        </w:rPr>
        <w:t>):</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BE4BBE">
      <w:pPr>
        <w:pStyle w:val="PargrafodaLista"/>
        <w:numPr>
          <w:ilvl w:val="0"/>
          <w:numId w:val="4"/>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atos de registro ou autorização para funcionamento expedido pelo Banco Central do Brasil ou Comissão de Valores Mobiliários ou órgão competente; </w:t>
      </w:r>
    </w:p>
    <w:p w:rsidR="00611C8B" w:rsidRPr="00352ECA" w:rsidRDefault="00611C8B" w:rsidP="00BE4BBE">
      <w:pPr>
        <w:pStyle w:val="PargrafodaLista"/>
        <w:numPr>
          <w:ilvl w:val="0"/>
          <w:numId w:val="4"/>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Observação de elevado padrão ético de conduta nas operações realizadas no mercado financeiro e ausência de restrições que, a critério do Banco Central do Brasil, da Comissão de Valores Mobiliários ou de outros órgãos competentes desaconselhem um relacionamento seguro;</w:t>
      </w:r>
    </w:p>
    <w:p w:rsidR="00611C8B" w:rsidRPr="00352ECA" w:rsidRDefault="00611C8B" w:rsidP="00BE4BBE">
      <w:pPr>
        <w:pStyle w:val="PargrafodaLista"/>
        <w:numPr>
          <w:ilvl w:val="0"/>
          <w:numId w:val="4"/>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regularidade fiscal e previdenciária;</w:t>
      </w:r>
    </w:p>
    <w:p w:rsidR="00611C8B" w:rsidRPr="00352ECA" w:rsidRDefault="00611C8B" w:rsidP="00BE4BBE">
      <w:pPr>
        <w:pStyle w:val="PargrafodaLista"/>
        <w:numPr>
          <w:ilvl w:val="0"/>
          <w:numId w:val="4"/>
        </w:num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relatório de rating de gestão.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sz w:val="24"/>
          <w:szCs w:val="24"/>
        </w:rPr>
      </w:pPr>
      <w:r w:rsidRPr="00352ECA">
        <w:rPr>
          <w:rFonts w:ascii="Arial" w:hAnsi="Arial" w:cs="Arial"/>
          <w:b/>
          <w:sz w:val="24"/>
          <w:szCs w:val="24"/>
        </w:rPr>
        <w:t>6.2. Em relação ao fundo de investimento: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 análise do histórico e experiência de atuação do gestor e do administrador do fundo de investimento e de seus controladores;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b) a análise quanto ao volume de recursos sob sua gestão e administração, bem como quanto a qualificação do corpo técnico e segregação de atividades;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lastRenderedPageBreak/>
        <w:t>c) a avaliação da aderência da rentabilidade aos indicadores de desempenho e riscos assumidos pelos fundos de investimentos sob sua gestão e administração, no período mínimo de dois anos anteriores ao credenciamento.</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sz w:val="24"/>
          <w:szCs w:val="24"/>
        </w:rPr>
      </w:pPr>
      <w:r w:rsidRPr="00352ECA">
        <w:rPr>
          <w:rFonts w:ascii="Arial" w:hAnsi="Arial" w:cs="Arial"/>
          <w:b/>
          <w:sz w:val="24"/>
          <w:szCs w:val="24"/>
        </w:rPr>
        <w:t>6.3. Requisitos Finais para o Credenciamento</w:t>
      </w:r>
    </w:p>
    <w:p w:rsidR="00611C8B" w:rsidRPr="00352ECA" w:rsidRDefault="00611C8B" w:rsidP="00611C8B">
      <w:pPr>
        <w:autoSpaceDE w:val="0"/>
        <w:autoSpaceDN w:val="0"/>
        <w:adjustRightInd w:val="0"/>
        <w:spacing w:after="0" w:line="240" w:lineRule="auto"/>
        <w:ind w:left="426" w:hanging="426"/>
        <w:jc w:val="both"/>
        <w:rPr>
          <w:rFonts w:ascii="Arial" w:hAnsi="Arial" w:cs="Arial"/>
          <w:b/>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Art. 6º-E Sem prejuízo do disposto nos §§ 1º, 2º e 3º do art. 3º, (definidos nos itens 5.1 e 5.2) serão observadas em relação ao credenciamento de que trata o inciso IX daquele artigo as seguintes disposições: (Incluído pela Portaria MPS nº 300, de 03/07/2015). </w:t>
      </w:r>
    </w:p>
    <w:p w:rsidR="00611C8B" w:rsidRPr="00352ECA" w:rsidRDefault="00611C8B" w:rsidP="00611C8B">
      <w:pPr>
        <w:autoSpaceDE w:val="0"/>
        <w:autoSpaceDN w:val="0"/>
        <w:adjustRightInd w:val="0"/>
        <w:spacing w:after="0" w:line="240" w:lineRule="auto"/>
        <w:ind w:left="426" w:hanging="426"/>
        <w:jc w:val="both"/>
        <w:rPr>
          <w:rFonts w:ascii="Arial" w:hAnsi="Arial" w:cs="Arial"/>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I - a análise das informações relativas à instituição credenciada e a verificação dos requisitos mínimos estabelecidos para o credenciamento deverão ser registradas em Termo de Análise de Credenciamento, cujo conteúdo mínimo constará de formulário disponibilizado pela SPPS no endereço eletrônico do MPS na rede mundial de computadores - Internet; (Incluído pela Portaria MPS nº 300, de 03/07/2015).</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II - a decisão final quanto ao credenciamento da instituição constará de Atestado de Credenciamento, conforme formulário disponibilizado pela SPPS no endereço eletrônico do MPS na rede mundial de computadores - Internet; (Incluído pela Portaria MPS nº 300, de 03/07/2015). </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 xml:space="preserve">III - os documentos que instruírem o credenciamento, desde que contenham identificação de sua data de emissão e validade e sejam disponibilizados pela instituição credenciada em página na rede mundial de computadores - Internet, cujo acesso seja livre a qualquer interessado, poderão ser mantidos pelo Fundo Previdenciário de Muriaé – Muriaé-Prev por meio de arquivos em meio digital, que deverão ser apresentados à SPPS e aos demais órgãos de controle e fiscalização, internos ou externos, sempre que solicitados. (Incluído pela Portaria MPS nº 300, de 03/07/2015). </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Parágrafo único. A utilização do Termo de Análise de Credenciamento e do Atestado de Credenciamento não afasta a responsabilidade do Fundo Previdenciário de Muriaé – Muriaé-Prev pela verificação do cumprimento dos requisitos mínimos para o credenciamento e não impede que o RPPS estabeleça critérios adicionais, com o objetivo de assegurar a observância das condições de segurança, rentabilidade, solvência, liquidez e transparência na aplicação dos recursos, segundo o disposto em Resolução do CMN. (Incluído pela Portaria MPS nº 300, de 03/07/2015).</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sz w:val="24"/>
          <w:szCs w:val="24"/>
        </w:rPr>
      </w:pPr>
      <w:r w:rsidRPr="00352ECA">
        <w:rPr>
          <w:rFonts w:ascii="Arial" w:hAnsi="Arial" w:cs="Arial"/>
          <w:b/>
          <w:sz w:val="24"/>
          <w:szCs w:val="24"/>
        </w:rPr>
        <w:t>6.4. Observações: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a) a análise dos quesitos verificados nos processos de credenciamento deverá ser atualizada a cada 12 (doze) meses.</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t>b) as aplicações que apresentem prazos para desinvestimento, inclusive prazos de carência e para conversão de cotas de fundos de investimentos, deverão ser precedidas de atestado do responsável legal pelo RPPS, evidenciando a sua compatibilidade com as obrigações presentes e futuras do regime.</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r w:rsidRPr="00352ECA">
        <w:rPr>
          <w:rFonts w:ascii="Arial" w:hAnsi="Arial" w:cs="Arial"/>
          <w:sz w:val="24"/>
          <w:szCs w:val="24"/>
        </w:rPr>
        <w:lastRenderedPageBreak/>
        <w:t>c) Deverá ser realizada a análise e registro do distribuidor, instituição integrante do sistema de distribuição ou agente autônomo de investimento, certificando-se sobre o contrato para distribuição e mediação do produto ofertado e a regularidade com a Comissão de Valores Mobiliários - CVM.</w:t>
      </w:r>
    </w:p>
    <w:p w:rsidR="00611C8B" w:rsidRPr="00352ECA" w:rsidRDefault="00611C8B" w:rsidP="00611C8B">
      <w:pPr>
        <w:autoSpaceDE w:val="0"/>
        <w:autoSpaceDN w:val="0"/>
        <w:adjustRightInd w:val="0"/>
        <w:spacing w:after="0" w:line="240" w:lineRule="auto"/>
        <w:ind w:left="426" w:hanging="426"/>
        <w:jc w:val="both"/>
        <w:rPr>
          <w:rFonts w:ascii="Arial" w:hAnsi="Arial" w:cs="Arial"/>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rPr>
      </w:pPr>
      <w:r w:rsidRPr="00352ECA">
        <w:rPr>
          <w:rFonts w:ascii="Arial" w:hAnsi="Arial" w:cs="Arial"/>
          <w:b/>
          <w:bCs/>
          <w:sz w:val="24"/>
          <w:szCs w:val="24"/>
        </w:rPr>
        <w:t xml:space="preserve">7. </w:t>
      </w:r>
      <w:r w:rsidRPr="00352ECA">
        <w:rPr>
          <w:rFonts w:ascii="Arial" w:hAnsi="Arial" w:cs="Arial"/>
          <w:b/>
          <w:bCs/>
        </w:rPr>
        <w:t xml:space="preserve"> GESTÃO DO RISCO DE CRÉDITO – NÃO PAGAMENTO DAS OBRIGAÇÕES</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rPr>
      </w:pPr>
      <w:r w:rsidRPr="00352ECA">
        <w:rPr>
          <w:rFonts w:ascii="Arial" w:hAnsi="Arial" w:cs="Arial"/>
          <w:bCs/>
        </w:rPr>
        <w:t xml:space="preserve">O </w:t>
      </w:r>
      <w:r w:rsidRPr="00352ECA">
        <w:rPr>
          <w:rFonts w:ascii="Arial" w:hAnsi="Arial" w:cs="Arial"/>
          <w:sz w:val="24"/>
          <w:szCs w:val="24"/>
        </w:rPr>
        <w:t>Fundo Previdenciário de Muriaé – Muriaé-Prev</w:t>
      </w:r>
      <w:r w:rsidRPr="00352ECA">
        <w:rPr>
          <w:rFonts w:ascii="Arial" w:hAnsi="Arial" w:cs="Arial"/>
          <w:bCs/>
        </w:rPr>
        <w:t xml:space="preserve"> somente poderá alocar recursos em fundos de investimento classificados com o mais alto grau de qualidade de crédito, mediante nota por agência internacional de classificação de risco, representada pelo quadro abaixo.</w:t>
      </w:r>
    </w:p>
    <w:p w:rsidR="00611C8B" w:rsidRPr="00352ECA" w:rsidRDefault="00611C8B" w:rsidP="00611C8B">
      <w:pPr>
        <w:autoSpaceDE w:val="0"/>
        <w:autoSpaceDN w:val="0"/>
        <w:adjustRightInd w:val="0"/>
        <w:spacing w:after="0" w:line="240" w:lineRule="auto"/>
        <w:ind w:left="426" w:hanging="426"/>
        <w:jc w:val="center"/>
        <w:rPr>
          <w:rFonts w:ascii="Arial" w:hAnsi="Arial" w:cs="Arial"/>
          <w:bCs/>
        </w:rPr>
      </w:pPr>
    </w:p>
    <w:tbl>
      <w:tblPr>
        <w:tblW w:w="0" w:type="auto"/>
        <w:tblInd w:w="534" w:type="dxa"/>
        <w:tblLook w:val="04A0" w:firstRow="1" w:lastRow="0" w:firstColumn="1" w:lastColumn="0" w:noHBand="0" w:noVBand="1"/>
      </w:tblPr>
      <w:tblGrid>
        <w:gridCol w:w="4677"/>
        <w:gridCol w:w="4253"/>
      </w:tblGrid>
      <w:tr w:rsidR="00611C8B" w:rsidRPr="00352ECA" w:rsidTr="00611C8B">
        <w:tc>
          <w:tcPr>
            <w:tcW w:w="4677" w:type="dxa"/>
            <w:tcBorders>
              <w:bottom w:val="single" w:sz="12" w:space="0" w:color="auto"/>
              <w:right w:val="single" w:sz="12" w:space="0" w:color="auto"/>
            </w:tcBorders>
            <w:shd w:val="clear" w:color="auto" w:fill="F2F2F2" w:themeFill="background1" w:themeFillShade="F2"/>
          </w:tcPr>
          <w:p w:rsidR="00611C8B" w:rsidRPr="00352ECA" w:rsidRDefault="00611C8B" w:rsidP="00611C8B">
            <w:pPr>
              <w:autoSpaceDE w:val="0"/>
              <w:autoSpaceDN w:val="0"/>
              <w:adjustRightInd w:val="0"/>
              <w:ind w:left="426" w:hanging="426"/>
              <w:jc w:val="center"/>
              <w:rPr>
                <w:rFonts w:ascii="Arial" w:hAnsi="Arial" w:cs="Arial"/>
                <w:b/>
                <w:bCs/>
                <w:sz w:val="20"/>
                <w:szCs w:val="20"/>
              </w:rPr>
            </w:pPr>
            <w:r w:rsidRPr="00352ECA">
              <w:rPr>
                <w:rFonts w:ascii="Arial" w:hAnsi="Arial" w:cs="Arial"/>
                <w:b/>
                <w:bCs/>
                <w:sz w:val="20"/>
                <w:szCs w:val="20"/>
              </w:rPr>
              <w:t>CLASSIFICAÇÃO DO RISCO DE CRÉDITO - RATING</w:t>
            </w:r>
          </w:p>
        </w:tc>
        <w:tc>
          <w:tcPr>
            <w:tcW w:w="4253" w:type="dxa"/>
            <w:tcBorders>
              <w:left w:val="single" w:sz="12" w:space="0" w:color="auto"/>
              <w:bottom w:val="single" w:sz="12" w:space="0" w:color="auto"/>
            </w:tcBorders>
            <w:shd w:val="clear" w:color="auto" w:fill="F2F2F2" w:themeFill="background1" w:themeFillShade="F2"/>
          </w:tcPr>
          <w:p w:rsidR="00611C8B" w:rsidRPr="00352ECA" w:rsidRDefault="00611C8B" w:rsidP="00611C8B">
            <w:pPr>
              <w:autoSpaceDE w:val="0"/>
              <w:autoSpaceDN w:val="0"/>
              <w:adjustRightInd w:val="0"/>
              <w:ind w:left="426" w:hanging="426"/>
              <w:jc w:val="center"/>
              <w:rPr>
                <w:rFonts w:ascii="Arial" w:hAnsi="Arial" w:cs="Arial"/>
                <w:b/>
                <w:bCs/>
                <w:sz w:val="20"/>
                <w:szCs w:val="20"/>
              </w:rPr>
            </w:pPr>
            <w:r w:rsidRPr="00352ECA">
              <w:rPr>
                <w:rFonts w:ascii="Arial" w:hAnsi="Arial" w:cs="Arial"/>
                <w:b/>
                <w:bCs/>
                <w:sz w:val="20"/>
                <w:szCs w:val="20"/>
              </w:rPr>
              <w:t>AGÊNCIA DE CLASSIFICAÇÃO DE RISCO</w:t>
            </w:r>
          </w:p>
        </w:tc>
      </w:tr>
      <w:tr w:rsidR="00611C8B" w:rsidRPr="00352ECA" w:rsidTr="00611C8B">
        <w:trPr>
          <w:trHeight w:val="338"/>
        </w:trPr>
        <w:tc>
          <w:tcPr>
            <w:tcW w:w="4677" w:type="dxa"/>
            <w:tcBorders>
              <w:top w:val="single" w:sz="12" w:space="0" w:color="auto"/>
              <w:bottom w:val="single" w:sz="12" w:space="0" w:color="auto"/>
              <w:right w:val="single" w:sz="12" w:space="0" w:color="auto"/>
            </w:tcBorders>
            <w:shd w:val="clear" w:color="auto" w:fill="F2F2F2" w:themeFill="background1" w:themeFillShade="F2"/>
          </w:tcPr>
          <w:p w:rsidR="00611C8B" w:rsidRPr="00352ECA" w:rsidRDefault="00611C8B" w:rsidP="00611C8B">
            <w:pPr>
              <w:autoSpaceDE w:val="0"/>
              <w:autoSpaceDN w:val="0"/>
              <w:adjustRightInd w:val="0"/>
              <w:ind w:left="426" w:hanging="426"/>
              <w:jc w:val="center"/>
              <w:rPr>
                <w:rFonts w:ascii="Arial" w:hAnsi="Arial" w:cs="Arial"/>
                <w:bCs/>
                <w:sz w:val="20"/>
                <w:szCs w:val="20"/>
              </w:rPr>
            </w:pPr>
            <w:r w:rsidRPr="00352ECA">
              <w:rPr>
                <w:rFonts w:ascii="Arial" w:hAnsi="Arial" w:cs="Arial"/>
                <w:bCs/>
                <w:sz w:val="20"/>
                <w:szCs w:val="20"/>
              </w:rPr>
              <w:t>MAIS ALTO GRAU DE QUALIDADE DE CRÉDITO</w:t>
            </w:r>
          </w:p>
        </w:tc>
        <w:tc>
          <w:tcPr>
            <w:tcW w:w="4253" w:type="dxa"/>
            <w:tcBorders>
              <w:top w:val="single" w:sz="12" w:space="0" w:color="auto"/>
              <w:left w:val="single" w:sz="12" w:space="0" w:color="auto"/>
              <w:bottom w:val="single" w:sz="12" w:space="0" w:color="auto"/>
            </w:tcBorders>
            <w:shd w:val="clear" w:color="auto" w:fill="F2F2F2" w:themeFill="background1" w:themeFillShade="F2"/>
          </w:tcPr>
          <w:p w:rsidR="00611C8B" w:rsidRPr="00352ECA" w:rsidRDefault="00611C8B" w:rsidP="00611C8B">
            <w:pPr>
              <w:autoSpaceDE w:val="0"/>
              <w:autoSpaceDN w:val="0"/>
              <w:adjustRightInd w:val="0"/>
              <w:ind w:left="426" w:hanging="426"/>
              <w:jc w:val="center"/>
              <w:rPr>
                <w:rFonts w:ascii="Arial" w:hAnsi="Arial" w:cs="Arial"/>
                <w:bCs/>
                <w:sz w:val="20"/>
                <w:szCs w:val="20"/>
              </w:rPr>
            </w:pPr>
            <w:r w:rsidRPr="00352ECA">
              <w:rPr>
                <w:rFonts w:ascii="Arial" w:hAnsi="Arial" w:cs="Arial"/>
                <w:bCs/>
                <w:sz w:val="20"/>
                <w:szCs w:val="20"/>
              </w:rPr>
              <w:t>Vencimento de 1 (UM) ano ou mais – Longo Prazo</w:t>
            </w:r>
          </w:p>
        </w:tc>
      </w:tr>
      <w:tr w:rsidR="00611C8B" w:rsidRPr="00352ECA" w:rsidTr="00611C8B">
        <w:trPr>
          <w:trHeight w:val="746"/>
        </w:trPr>
        <w:tc>
          <w:tcPr>
            <w:tcW w:w="4677" w:type="dxa"/>
            <w:tcBorders>
              <w:top w:val="single" w:sz="12" w:space="0" w:color="auto"/>
              <w:right w:val="single" w:sz="12" w:space="0" w:color="auto"/>
            </w:tcBorders>
          </w:tcPr>
          <w:p w:rsidR="00611C8B" w:rsidRPr="00352ECA" w:rsidRDefault="00611C8B" w:rsidP="00611C8B">
            <w:pPr>
              <w:autoSpaceDE w:val="0"/>
              <w:autoSpaceDN w:val="0"/>
              <w:adjustRightInd w:val="0"/>
              <w:ind w:left="426" w:hanging="426"/>
              <w:jc w:val="center"/>
              <w:rPr>
                <w:rFonts w:ascii="Arial" w:hAnsi="Arial" w:cs="Arial"/>
                <w:b/>
                <w:sz w:val="24"/>
                <w:szCs w:val="24"/>
              </w:rPr>
            </w:pPr>
          </w:p>
          <w:p w:rsidR="00611C8B" w:rsidRPr="00352ECA" w:rsidRDefault="00611C8B" w:rsidP="00611C8B">
            <w:pPr>
              <w:autoSpaceDE w:val="0"/>
              <w:autoSpaceDN w:val="0"/>
              <w:adjustRightInd w:val="0"/>
              <w:ind w:left="426" w:hanging="426"/>
              <w:jc w:val="center"/>
              <w:rPr>
                <w:rFonts w:ascii="Arial" w:hAnsi="Arial" w:cs="Arial"/>
                <w:b/>
                <w:sz w:val="24"/>
                <w:szCs w:val="24"/>
              </w:rPr>
            </w:pPr>
            <w:r w:rsidRPr="00352ECA">
              <w:rPr>
                <w:rFonts w:ascii="Arial" w:hAnsi="Arial" w:cs="Arial"/>
                <w:b/>
                <w:sz w:val="24"/>
                <w:szCs w:val="24"/>
              </w:rPr>
              <w:t>Aaa</w:t>
            </w:r>
          </w:p>
        </w:tc>
        <w:tc>
          <w:tcPr>
            <w:tcW w:w="4253" w:type="dxa"/>
            <w:tcBorders>
              <w:top w:val="single" w:sz="12" w:space="0" w:color="auto"/>
              <w:left w:val="single" w:sz="12" w:space="0" w:color="auto"/>
            </w:tcBorders>
          </w:tcPr>
          <w:p w:rsidR="00611C8B" w:rsidRPr="00352ECA" w:rsidRDefault="00611C8B" w:rsidP="00611C8B">
            <w:pPr>
              <w:autoSpaceDE w:val="0"/>
              <w:autoSpaceDN w:val="0"/>
              <w:adjustRightInd w:val="0"/>
              <w:ind w:left="426" w:hanging="426"/>
              <w:jc w:val="center"/>
              <w:rPr>
                <w:rFonts w:ascii="Arial" w:hAnsi="Arial" w:cs="Arial"/>
                <w:b/>
                <w:sz w:val="24"/>
                <w:szCs w:val="24"/>
              </w:rPr>
            </w:pPr>
          </w:p>
          <w:p w:rsidR="00611C8B" w:rsidRPr="00352ECA" w:rsidRDefault="00611C8B" w:rsidP="00611C8B">
            <w:pPr>
              <w:autoSpaceDE w:val="0"/>
              <w:autoSpaceDN w:val="0"/>
              <w:adjustRightInd w:val="0"/>
              <w:ind w:left="426" w:hanging="426"/>
              <w:jc w:val="center"/>
              <w:rPr>
                <w:rFonts w:ascii="Arial" w:hAnsi="Arial" w:cs="Arial"/>
                <w:b/>
                <w:sz w:val="24"/>
                <w:szCs w:val="24"/>
              </w:rPr>
            </w:pPr>
            <w:r w:rsidRPr="00352ECA">
              <w:rPr>
                <w:rFonts w:ascii="Arial" w:hAnsi="Arial" w:cs="Arial"/>
                <w:b/>
                <w:sz w:val="24"/>
                <w:szCs w:val="24"/>
              </w:rPr>
              <w:t>Moody’s</w:t>
            </w:r>
          </w:p>
        </w:tc>
      </w:tr>
      <w:tr w:rsidR="00611C8B" w:rsidRPr="00352ECA" w:rsidTr="00611C8B">
        <w:trPr>
          <w:trHeight w:val="847"/>
        </w:trPr>
        <w:tc>
          <w:tcPr>
            <w:tcW w:w="4677" w:type="dxa"/>
            <w:tcBorders>
              <w:right w:val="single" w:sz="12" w:space="0" w:color="auto"/>
            </w:tcBorders>
          </w:tcPr>
          <w:p w:rsidR="00611C8B" w:rsidRPr="00352ECA" w:rsidRDefault="00611C8B" w:rsidP="00611C8B">
            <w:pPr>
              <w:autoSpaceDE w:val="0"/>
              <w:autoSpaceDN w:val="0"/>
              <w:adjustRightInd w:val="0"/>
              <w:ind w:left="426" w:hanging="426"/>
              <w:jc w:val="center"/>
              <w:rPr>
                <w:rFonts w:ascii="Arial" w:hAnsi="Arial" w:cs="Arial"/>
                <w:b/>
                <w:sz w:val="24"/>
                <w:szCs w:val="24"/>
              </w:rPr>
            </w:pPr>
          </w:p>
          <w:p w:rsidR="00611C8B" w:rsidRPr="00352ECA" w:rsidRDefault="00611C8B" w:rsidP="00611C8B">
            <w:pPr>
              <w:autoSpaceDE w:val="0"/>
              <w:autoSpaceDN w:val="0"/>
              <w:adjustRightInd w:val="0"/>
              <w:ind w:left="426" w:hanging="426"/>
              <w:jc w:val="center"/>
              <w:rPr>
                <w:rFonts w:ascii="Arial" w:hAnsi="Arial" w:cs="Arial"/>
                <w:b/>
                <w:sz w:val="24"/>
                <w:szCs w:val="24"/>
              </w:rPr>
            </w:pPr>
            <w:r w:rsidRPr="00352ECA">
              <w:rPr>
                <w:rFonts w:ascii="Arial" w:hAnsi="Arial" w:cs="Arial"/>
                <w:b/>
                <w:sz w:val="24"/>
                <w:szCs w:val="24"/>
              </w:rPr>
              <w:t>AAA</w:t>
            </w:r>
          </w:p>
        </w:tc>
        <w:tc>
          <w:tcPr>
            <w:tcW w:w="4253" w:type="dxa"/>
            <w:tcBorders>
              <w:left w:val="single" w:sz="12" w:space="0" w:color="auto"/>
            </w:tcBorders>
          </w:tcPr>
          <w:p w:rsidR="00611C8B" w:rsidRPr="00352ECA" w:rsidRDefault="00611C8B" w:rsidP="00611C8B">
            <w:pPr>
              <w:autoSpaceDE w:val="0"/>
              <w:autoSpaceDN w:val="0"/>
              <w:adjustRightInd w:val="0"/>
              <w:ind w:left="426" w:hanging="426"/>
              <w:jc w:val="center"/>
              <w:rPr>
                <w:rFonts w:ascii="Arial" w:hAnsi="Arial" w:cs="Arial"/>
                <w:b/>
                <w:sz w:val="24"/>
                <w:szCs w:val="24"/>
              </w:rPr>
            </w:pPr>
          </w:p>
          <w:p w:rsidR="00611C8B" w:rsidRPr="00352ECA" w:rsidRDefault="00611C8B" w:rsidP="00611C8B">
            <w:pPr>
              <w:autoSpaceDE w:val="0"/>
              <w:autoSpaceDN w:val="0"/>
              <w:adjustRightInd w:val="0"/>
              <w:ind w:left="426" w:hanging="426"/>
              <w:jc w:val="center"/>
              <w:rPr>
                <w:rFonts w:ascii="Arial" w:hAnsi="Arial" w:cs="Arial"/>
                <w:b/>
                <w:sz w:val="24"/>
                <w:szCs w:val="24"/>
              </w:rPr>
            </w:pPr>
            <w:r w:rsidRPr="00352ECA">
              <w:rPr>
                <w:rFonts w:ascii="Arial" w:hAnsi="Arial" w:cs="Arial"/>
                <w:b/>
                <w:sz w:val="24"/>
                <w:szCs w:val="24"/>
              </w:rPr>
              <w:t>Fitch</w:t>
            </w:r>
          </w:p>
        </w:tc>
      </w:tr>
      <w:tr w:rsidR="00611C8B" w:rsidRPr="00352ECA" w:rsidTr="00611C8B">
        <w:trPr>
          <w:trHeight w:val="769"/>
        </w:trPr>
        <w:tc>
          <w:tcPr>
            <w:tcW w:w="4677" w:type="dxa"/>
            <w:tcBorders>
              <w:right w:val="single" w:sz="12" w:space="0" w:color="auto"/>
            </w:tcBorders>
          </w:tcPr>
          <w:p w:rsidR="00611C8B" w:rsidRPr="00352ECA" w:rsidRDefault="00611C8B" w:rsidP="00611C8B">
            <w:pPr>
              <w:autoSpaceDE w:val="0"/>
              <w:autoSpaceDN w:val="0"/>
              <w:adjustRightInd w:val="0"/>
              <w:ind w:left="426" w:hanging="426"/>
              <w:jc w:val="center"/>
              <w:rPr>
                <w:rFonts w:ascii="Arial" w:hAnsi="Arial" w:cs="Arial"/>
                <w:b/>
                <w:sz w:val="24"/>
                <w:szCs w:val="24"/>
              </w:rPr>
            </w:pPr>
          </w:p>
          <w:p w:rsidR="00611C8B" w:rsidRPr="00352ECA" w:rsidRDefault="00611C8B" w:rsidP="00611C8B">
            <w:pPr>
              <w:autoSpaceDE w:val="0"/>
              <w:autoSpaceDN w:val="0"/>
              <w:adjustRightInd w:val="0"/>
              <w:ind w:left="426" w:hanging="426"/>
              <w:jc w:val="center"/>
              <w:rPr>
                <w:rFonts w:ascii="Arial" w:hAnsi="Arial" w:cs="Arial"/>
                <w:b/>
                <w:sz w:val="24"/>
                <w:szCs w:val="24"/>
              </w:rPr>
            </w:pPr>
            <w:r w:rsidRPr="00352ECA">
              <w:rPr>
                <w:rFonts w:ascii="Arial" w:hAnsi="Arial" w:cs="Arial"/>
                <w:b/>
                <w:sz w:val="24"/>
                <w:szCs w:val="24"/>
              </w:rPr>
              <w:t>AAA</w:t>
            </w:r>
          </w:p>
        </w:tc>
        <w:tc>
          <w:tcPr>
            <w:tcW w:w="4253" w:type="dxa"/>
            <w:tcBorders>
              <w:left w:val="single" w:sz="12" w:space="0" w:color="auto"/>
            </w:tcBorders>
          </w:tcPr>
          <w:p w:rsidR="00611C8B" w:rsidRPr="00352ECA" w:rsidRDefault="00611C8B" w:rsidP="00611C8B">
            <w:pPr>
              <w:autoSpaceDE w:val="0"/>
              <w:autoSpaceDN w:val="0"/>
              <w:adjustRightInd w:val="0"/>
              <w:ind w:left="426" w:hanging="426"/>
              <w:jc w:val="center"/>
              <w:rPr>
                <w:rFonts w:ascii="Arial" w:hAnsi="Arial" w:cs="Arial"/>
                <w:b/>
                <w:sz w:val="24"/>
                <w:szCs w:val="24"/>
              </w:rPr>
            </w:pPr>
          </w:p>
          <w:p w:rsidR="00611C8B" w:rsidRPr="00352ECA" w:rsidRDefault="00611C8B" w:rsidP="00611C8B">
            <w:pPr>
              <w:autoSpaceDE w:val="0"/>
              <w:autoSpaceDN w:val="0"/>
              <w:adjustRightInd w:val="0"/>
              <w:ind w:left="426" w:hanging="426"/>
              <w:jc w:val="center"/>
              <w:rPr>
                <w:rFonts w:ascii="Arial" w:hAnsi="Arial" w:cs="Arial"/>
                <w:b/>
                <w:sz w:val="24"/>
                <w:szCs w:val="24"/>
              </w:rPr>
            </w:pPr>
            <w:r w:rsidRPr="00352ECA">
              <w:rPr>
                <w:rFonts w:ascii="Arial" w:hAnsi="Arial" w:cs="Arial"/>
                <w:b/>
                <w:sz w:val="24"/>
                <w:szCs w:val="24"/>
              </w:rPr>
              <w:t>Standard &amp; Poor’s</w:t>
            </w:r>
          </w:p>
        </w:tc>
      </w:tr>
    </w:tbl>
    <w:p w:rsidR="00611C8B" w:rsidRPr="00352ECA" w:rsidRDefault="00611C8B" w:rsidP="00611C8B">
      <w:pPr>
        <w:autoSpaceDE w:val="0"/>
        <w:autoSpaceDN w:val="0"/>
        <w:adjustRightInd w:val="0"/>
        <w:spacing w:after="0" w:line="240" w:lineRule="auto"/>
        <w:ind w:left="426" w:hanging="426"/>
        <w:jc w:val="center"/>
        <w:rPr>
          <w:rFonts w:ascii="Arial" w:hAnsi="Arial" w:cs="Arial"/>
          <w:bCs/>
        </w:rPr>
      </w:pP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r w:rsidRPr="00352ECA">
        <w:rPr>
          <w:rFonts w:ascii="Arial" w:hAnsi="Arial" w:cs="Arial"/>
          <w:b/>
          <w:bCs/>
          <w:sz w:val="24"/>
          <w:szCs w:val="24"/>
        </w:rPr>
        <w:t>7.1 GESTÃO DO RISCO DE MERCADO</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A carteira de investimentos será monitorada no binômio risco-retorno com a utilização das principais medidas de risco dos investimentos: retorno absoluto, retorno relativo, volatilidade, V@r (</w:t>
      </w:r>
      <w:r w:rsidRPr="00352ECA">
        <w:rPr>
          <w:rFonts w:ascii="Arial" w:hAnsi="Arial" w:cs="Arial"/>
          <w:bCs/>
          <w:i/>
          <w:sz w:val="24"/>
          <w:szCs w:val="24"/>
        </w:rPr>
        <w:t>value at risk</w:t>
      </w:r>
      <w:r w:rsidRPr="00352ECA">
        <w:rPr>
          <w:rFonts w:ascii="Arial" w:hAnsi="Arial" w:cs="Arial"/>
          <w:bCs/>
          <w:sz w:val="24"/>
          <w:szCs w:val="24"/>
        </w:rPr>
        <w:t>) e Índice de Sharpe. Serão consideradas diferentes janelas de tempo para melhor capturar as oscilações inerentes aos investimentos, tanto de renda fixa quanto de renda variável.</w:t>
      </w:r>
    </w:p>
    <w:p w:rsidR="00611C8B" w:rsidRPr="00352ECA" w:rsidRDefault="00611C8B" w:rsidP="00611C8B">
      <w:pPr>
        <w:autoSpaceDE w:val="0"/>
        <w:autoSpaceDN w:val="0"/>
        <w:adjustRightInd w:val="0"/>
        <w:spacing w:after="0" w:line="240" w:lineRule="auto"/>
        <w:ind w:left="426" w:hanging="426"/>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r w:rsidRPr="00352ECA">
        <w:rPr>
          <w:rFonts w:ascii="Arial" w:hAnsi="Arial" w:cs="Arial"/>
          <w:b/>
          <w:bCs/>
          <w:sz w:val="24"/>
          <w:szCs w:val="24"/>
        </w:rPr>
        <w:t>7.2 GESTÃO DO RISCO DE LIQUIDEZ</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xml:space="preserve">O direcionamento dos investimentos priorizará fundos de investimentos com características de liquidez imediata (prazo de desinvestimento total de até 30 dias). A alocação em produtos com baixa liquidez somente será permitida, desde que avaliados os seguintes requisitos: </w:t>
      </w:r>
      <w:r w:rsidRPr="00352ECA">
        <w:rPr>
          <w:rFonts w:ascii="Arial" w:hAnsi="Arial" w:cs="Arial"/>
          <w:bCs/>
          <w:sz w:val="24"/>
          <w:szCs w:val="24"/>
        </w:rPr>
        <w:lastRenderedPageBreak/>
        <w:t>nível de proteção do capital investido; lastro das operações do fundo; credibilidade da instituição financeira gestora do fundo de investimento, prazo de desinvestimento definido em regulamento.</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u w:val="single"/>
        </w:rPr>
        <w:t>Vedado a alocação em fundos de investimento de prazo indeterminado, sem mecanismos de resgate total do capital, via o próprio fundo de investimento</w:t>
      </w:r>
      <w:r w:rsidRPr="00352ECA">
        <w:rPr>
          <w:rFonts w:ascii="Arial" w:hAnsi="Arial" w:cs="Arial"/>
          <w:bCs/>
          <w:sz w:val="24"/>
          <w:szCs w:val="24"/>
        </w:rPr>
        <w:t>.</w:t>
      </w: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r w:rsidRPr="00352ECA">
        <w:rPr>
          <w:rFonts w:ascii="Arial" w:hAnsi="Arial" w:cs="Arial"/>
          <w:b/>
          <w:bCs/>
          <w:sz w:val="24"/>
          <w:szCs w:val="24"/>
        </w:rPr>
        <w:t>8. INVESTIDOR QUALIFICADO / INVESTIDOR PROFISSIONAL – Portaria MPS 300/2015 e Portaria MF 01/2017</w:t>
      </w:r>
    </w:p>
    <w:p w:rsidR="00611C8B" w:rsidRPr="00352ECA" w:rsidRDefault="00611C8B" w:rsidP="00611C8B">
      <w:pPr>
        <w:autoSpaceDE w:val="0"/>
        <w:autoSpaceDN w:val="0"/>
        <w:adjustRightInd w:val="0"/>
        <w:spacing w:after="0" w:line="240" w:lineRule="auto"/>
        <w:ind w:left="426" w:hanging="426"/>
        <w:rPr>
          <w:rFonts w:ascii="Arial" w:hAnsi="Arial" w:cs="Arial"/>
          <w:b/>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Art. 6º-A. Será considerado investidor qualificado, para os fins da normatização estabelecida pela CVM, o RPPS que atenda cumulativamente aos seguintes requisitos:</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I - cujo ente federativo instituidor possua Certificado de Regularidade Previdenciária - CRP vigente na data da realização de cada aplicação exclusiva para tal categoria de investidor, pelo cumprimento das normas gerais de organização e funcionamento dos RPPS, estabelecidas na Lei nº 9.717/1998 e nos atos normativos dela decorrentes.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II - possua recursos aplicados, informados no Demonstrativo das Aplicações e Investimentos dos Recursos - DAIR enviado à SPPS, do bimestre imediatamente anterior à data de realização de cada aplicação exclusiva para tal categoria de investidor, em montante igual ou superior a R$ 10.000.000,00 (dez milhões de reais).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xml:space="preserve">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III - comprove o efetivo funcionamento do Comitê de Investimentos, na forma do art. 3º-A.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IV - tenha aderido ao Programa de Certificação Institucional e Modernização da Gestão dos Regimes Próprios de Previdência Social da União, dos Estados, do Distrito Federal e dos Municípios - "Pró-Gestão RPPS", instituído pela Portaria MPS nº 185, de 14 de maio de 2015, e obtido certificação institucional em um dos níveis de aderência nela estabelecidos.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Parágrafo único. A classificação de RPPS como investidor profissional somente produzirá efeitos quando atendidos os requisitos de que tratam os incisos I a IV do caput, sendo vedada a aplicação de recursos em investimentos destinados a investidores profissionais pelos RPPS que não os cumpram integralmente.</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Art. 6º-B. Será considerado investidor profissional, para os fins da normatização estabelecida pela CVM, o RPPS que atenda cumulativamente aos seguintes requisitos:</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xml:space="preserve">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xml:space="preserve">I - cujo ente federativo instituidor possua Certificado de Regularidade Previdenciária - CRP vigente na data da realização de cada aplicação exclusiva para tal categoria de investidor, pelo cumprimento das normas gerais de organização e funcionamento dos RPPS, estabelecidas na Lei nº 9.717/1998 e nos atos normativos dela decorrentes.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xml:space="preserve">II - possua recursos aplicados, informados no Demonstrativo das Aplicações e Investimentos dos Recursos - DAIR enviado à SPPS, do bimestre imediatamente anterior à data de realização de cada aplicação exclusiva para tal categoria de investidor, em montante igual ou superior a R$ 1.000.000.000,00 (um bilhão de reais).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 xml:space="preserve">III - comprove o efetivo funcionamento do Comitê de Investimentos, na forma do art. 3º-A.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IV - tenha aderido ao Programa de Certificação Institucional e Modernização da Gestão dos Regimes Próprios de Previdência Social da União, dos Estados, do Distrito Federal e dos Municípios - "Pró-Gestão RPPS", instituído pela Portaria MPS nº 185, de 14 de maio de 2015, e obtido certificação institucional no quarto nível de aderência nela estabelecido.</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r w:rsidRPr="00352ECA">
        <w:rPr>
          <w:rFonts w:ascii="Arial" w:hAnsi="Arial" w:cs="Arial"/>
          <w:bCs/>
          <w:sz w:val="24"/>
          <w:szCs w:val="24"/>
        </w:rPr>
        <w:t>Art. 6º-C. A classificação do RPPS como investidor qualificado ou investidor profissional, na forma dos art. 6º-A e 6º-B, não exime seus representantes legais, dirigentes, responsáveis pela gestão dos recursos e membros dos órgãos de deliberação colegiada da responsabilidade pela adoção de elevados padrões éticos e técnicos na governança e controle das operações e pela observância das condições de segurança, rentabilidade, solvência, liquidez e transparência na aplicação dos recursos, segundo o disposto em Resolução do CMN. </w:t>
      </w:r>
    </w:p>
    <w:p w:rsidR="00611C8B" w:rsidRPr="00352ECA" w:rsidRDefault="00611C8B" w:rsidP="00611C8B">
      <w:pPr>
        <w:autoSpaceDE w:val="0"/>
        <w:autoSpaceDN w:val="0"/>
        <w:adjustRightInd w:val="0"/>
        <w:spacing w:after="0" w:line="240" w:lineRule="auto"/>
        <w:ind w:left="426" w:hanging="426"/>
        <w:jc w:val="both"/>
        <w:rPr>
          <w:rFonts w:ascii="Arial" w:hAnsi="Arial" w:cs="Arial"/>
          <w:bCs/>
          <w:sz w:val="24"/>
          <w:szCs w:val="24"/>
        </w:rPr>
      </w:pPr>
    </w:p>
    <w:p w:rsidR="00611C8B" w:rsidRPr="00862AEB" w:rsidRDefault="00611C8B" w:rsidP="00611C8B">
      <w:pPr>
        <w:autoSpaceDE w:val="0"/>
        <w:autoSpaceDN w:val="0"/>
        <w:adjustRightInd w:val="0"/>
        <w:spacing w:after="0" w:line="240" w:lineRule="auto"/>
        <w:ind w:left="426" w:hanging="426"/>
        <w:rPr>
          <w:rFonts w:ascii="Arial" w:hAnsi="Arial" w:cs="Arial"/>
          <w:b/>
          <w:bCs/>
        </w:rPr>
      </w:pPr>
      <w:r w:rsidRPr="00862AEB">
        <w:rPr>
          <w:rFonts w:ascii="Arial" w:hAnsi="Arial" w:cs="Arial"/>
          <w:b/>
          <w:bCs/>
        </w:rPr>
        <w:t>Muriaé, 11 de novembro de 2021.</w:t>
      </w:r>
    </w:p>
    <w:p w:rsidR="00611C8B" w:rsidRPr="00352ECA" w:rsidRDefault="00611C8B" w:rsidP="00611C8B">
      <w:pPr>
        <w:autoSpaceDE w:val="0"/>
        <w:autoSpaceDN w:val="0"/>
        <w:adjustRightInd w:val="0"/>
        <w:spacing w:after="0" w:line="240" w:lineRule="auto"/>
        <w:ind w:left="426" w:hanging="426"/>
        <w:rPr>
          <w:rFonts w:ascii="Arial" w:hAnsi="Arial" w:cs="Arial"/>
          <w:bCs/>
        </w:rPr>
      </w:pP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Default="00611C8B" w:rsidP="00611C8B">
      <w:pPr>
        <w:autoSpaceDE w:val="0"/>
        <w:autoSpaceDN w:val="0"/>
        <w:adjustRightInd w:val="0"/>
        <w:spacing w:after="0" w:line="240" w:lineRule="auto"/>
        <w:jc w:val="center"/>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Pr="00352ECA" w:rsidRDefault="00611C8B" w:rsidP="00611C8B">
      <w:pPr>
        <w:autoSpaceDE w:val="0"/>
        <w:autoSpaceDN w:val="0"/>
        <w:adjustRightInd w:val="0"/>
        <w:spacing w:after="0" w:line="240" w:lineRule="auto"/>
        <w:jc w:val="center"/>
        <w:rPr>
          <w:rFonts w:ascii="Arial" w:hAnsi="Arial" w:cs="Arial"/>
          <w:b/>
          <w:bCs/>
          <w:sz w:val="24"/>
          <w:szCs w:val="24"/>
        </w:rPr>
      </w:pPr>
      <w:r w:rsidRPr="00352ECA">
        <w:rPr>
          <w:rFonts w:ascii="Arial" w:hAnsi="Arial" w:cs="Arial"/>
          <w:b/>
          <w:bCs/>
          <w:sz w:val="24"/>
          <w:szCs w:val="24"/>
        </w:rPr>
        <w:t>ANEXO I</w:t>
      </w:r>
    </w:p>
    <w:p w:rsidR="00611C8B" w:rsidRDefault="00611C8B" w:rsidP="00611C8B">
      <w:pPr>
        <w:autoSpaceDE w:val="0"/>
        <w:autoSpaceDN w:val="0"/>
        <w:adjustRightInd w:val="0"/>
        <w:spacing w:after="0" w:line="240" w:lineRule="auto"/>
        <w:ind w:left="426" w:hanging="426"/>
        <w:jc w:val="both"/>
        <w:rPr>
          <w:rFonts w:ascii="Arial" w:hAnsi="Arial" w:cs="Arial"/>
          <w:b/>
          <w:bCs/>
          <w:sz w:val="24"/>
          <w:szCs w:val="24"/>
        </w:rPr>
      </w:pPr>
      <w:r w:rsidRPr="00352ECA">
        <w:rPr>
          <w:rFonts w:ascii="Arial" w:hAnsi="Arial" w:cs="Arial"/>
          <w:b/>
          <w:bCs/>
          <w:sz w:val="24"/>
          <w:szCs w:val="24"/>
        </w:rPr>
        <w:t>DEMONSTRATIVO DA POLÍTICA DE INVESTIMENTO – DPIN - ESTRATEGIA DE INVESTIMENTOS 2022 - PREENCHIMENTO E ENVIO VIA CADPREV DO MINISTÉRIO DA PREVIDÊNCIA E ASSISTÊNCIA SOCIAL</w:t>
      </w:r>
    </w:p>
    <w:p w:rsidR="00611C8B" w:rsidRPr="00352ECA" w:rsidRDefault="00611C8B" w:rsidP="00611C8B">
      <w:pPr>
        <w:autoSpaceDE w:val="0"/>
        <w:autoSpaceDN w:val="0"/>
        <w:adjustRightInd w:val="0"/>
        <w:spacing w:after="0" w:line="240" w:lineRule="auto"/>
        <w:ind w:left="426" w:hanging="426"/>
        <w:jc w:val="both"/>
        <w:rPr>
          <w:rFonts w:ascii="Arial" w:hAnsi="Arial" w:cs="Arial"/>
          <w:b/>
          <w:bCs/>
          <w:sz w:val="24"/>
          <w:szCs w:val="24"/>
        </w:rPr>
      </w:pPr>
    </w:p>
    <w:tbl>
      <w:tblPr>
        <w:tblW w:w="12902" w:type="dxa"/>
        <w:tblInd w:w="-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01"/>
        <w:gridCol w:w="993"/>
        <w:gridCol w:w="1559"/>
        <w:gridCol w:w="995"/>
        <w:gridCol w:w="992"/>
        <w:gridCol w:w="1134"/>
        <w:gridCol w:w="992"/>
        <w:gridCol w:w="1276"/>
        <w:gridCol w:w="1134"/>
        <w:gridCol w:w="992"/>
        <w:gridCol w:w="1134"/>
      </w:tblGrid>
      <w:tr w:rsidR="00611C8B" w:rsidRPr="00280366" w:rsidTr="00611C8B">
        <w:trPr>
          <w:trHeight w:val="254"/>
        </w:trPr>
        <w:tc>
          <w:tcPr>
            <w:tcW w:w="12902" w:type="dxa"/>
            <w:gridSpan w:val="11"/>
            <w:tcBorders>
              <w:top w:val="single" w:sz="4" w:space="0" w:color="auto"/>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b/>
                <w:sz w:val="20"/>
                <w:szCs w:val="20"/>
              </w:rPr>
              <w:t xml:space="preserve">RESUMO DA POLÍTICA DE INVESTIMENTOS 2022 - RESOLUÇÃO CMN nº 3.922/2010 CONSOLIDADA </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p>
        </w:tc>
        <w:tc>
          <w:tcPr>
            <w:tcW w:w="993" w:type="dxa"/>
            <w:tcBorders>
              <w:top w:val="nil"/>
              <w:left w:val="nil"/>
              <w:bottom w:val="outset" w:sz="6" w:space="0" w:color="auto"/>
              <w:right w:val="outset" w:sz="6" w:space="0" w:color="auto"/>
            </w:tcBorders>
            <w:vAlign w:val="center"/>
          </w:tcPr>
          <w:p w:rsidR="00611C8B" w:rsidRPr="00280366" w:rsidRDefault="00611C8B" w:rsidP="00611C8B">
            <w:pPr>
              <w:rPr>
                <w:sz w:val="20"/>
                <w:szCs w:val="20"/>
              </w:rPr>
            </w:pPr>
          </w:p>
        </w:tc>
        <w:tc>
          <w:tcPr>
            <w:tcW w:w="2554" w:type="dxa"/>
            <w:gridSpan w:val="2"/>
            <w:tcBorders>
              <w:top w:val="nil"/>
              <w:left w:val="nil"/>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 </w:t>
            </w:r>
          </w:p>
        </w:tc>
        <w:tc>
          <w:tcPr>
            <w:tcW w:w="992" w:type="dxa"/>
            <w:tcBorders>
              <w:top w:val="nil"/>
              <w:left w:val="nil"/>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 </w:t>
            </w:r>
          </w:p>
        </w:tc>
        <w:tc>
          <w:tcPr>
            <w:tcW w:w="1134" w:type="dxa"/>
            <w:tcBorders>
              <w:top w:val="nil"/>
              <w:left w:val="nil"/>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 </w:t>
            </w:r>
          </w:p>
        </w:tc>
        <w:tc>
          <w:tcPr>
            <w:tcW w:w="992" w:type="dxa"/>
            <w:tcBorders>
              <w:top w:val="nil"/>
              <w:left w:val="nil"/>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 </w:t>
            </w:r>
          </w:p>
        </w:tc>
        <w:tc>
          <w:tcPr>
            <w:tcW w:w="1276" w:type="dxa"/>
            <w:tcBorders>
              <w:top w:val="nil"/>
              <w:left w:val="nil"/>
              <w:bottom w:val="outset" w:sz="6" w:space="0" w:color="auto"/>
              <w:right w:val="outset" w:sz="6" w:space="0" w:color="auto"/>
            </w:tcBorders>
          </w:tcPr>
          <w:p w:rsidR="00611C8B" w:rsidRPr="00280366" w:rsidRDefault="00611C8B" w:rsidP="00611C8B">
            <w:pPr>
              <w:rPr>
                <w:sz w:val="20"/>
                <w:szCs w:val="20"/>
              </w:rPr>
            </w:pP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p>
        </w:tc>
        <w:tc>
          <w:tcPr>
            <w:tcW w:w="2126" w:type="dxa"/>
            <w:gridSpan w:val="2"/>
            <w:tcBorders>
              <w:top w:val="nil"/>
              <w:left w:val="nil"/>
              <w:bottom w:val="outset" w:sz="6" w:space="0" w:color="auto"/>
              <w:right w:val="outset" w:sz="6" w:space="0" w:color="auto"/>
            </w:tcBorders>
          </w:tcPr>
          <w:p w:rsidR="00611C8B" w:rsidRPr="00280366" w:rsidRDefault="00611C8B" w:rsidP="00611C8B">
            <w:pPr>
              <w:rPr>
                <w:b/>
                <w:sz w:val="20"/>
                <w:szCs w:val="20"/>
              </w:rPr>
            </w:pPr>
            <w:r w:rsidRPr="00280366">
              <w:rPr>
                <w:b/>
                <w:sz w:val="20"/>
                <w:szCs w:val="20"/>
              </w:rPr>
              <w:t>ESTRATÉGIA DE ALOCAÇÃO - PRÓXIMOS 5 EXERCÍCIOS</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b/>
                <w:sz w:val="20"/>
                <w:szCs w:val="20"/>
              </w:rPr>
            </w:pPr>
            <w:r w:rsidRPr="00280366">
              <w:rPr>
                <w:b/>
                <w:sz w:val="20"/>
                <w:szCs w:val="20"/>
              </w:rPr>
              <w:t> TIPO DE ATIVO</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b/>
                <w:sz w:val="20"/>
                <w:szCs w:val="20"/>
              </w:rPr>
            </w:pPr>
            <w:r w:rsidRPr="00280366">
              <w:rPr>
                <w:b/>
                <w:sz w:val="20"/>
                <w:szCs w:val="20"/>
              </w:rPr>
              <w:t xml:space="preserve">Limite Resolução </w:t>
            </w:r>
            <w:r>
              <w:rPr>
                <w:b/>
                <w:sz w:val="20"/>
                <w:szCs w:val="20"/>
              </w:rPr>
              <w:t>(</w:t>
            </w:r>
            <w:r w:rsidRPr="00280366">
              <w:rPr>
                <w:b/>
                <w:sz w:val="20"/>
                <w:szCs w:val="20"/>
              </w:rPr>
              <w:t>%</w:t>
            </w:r>
            <w:r>
              <w:rPr>
                <w:b/>
                <w:sz w:val="20"/>
                <w:szCs w:val="20"/>
              </w:rPr>
              <w:t>)</w:t>
            </w:r>
          </w:p>
        </w:tc>
        <w:tc>
          <w:tcPr>
            <w:tcW w:w="1559" w:type="dxa"/>
            <w:tcBorders>
              <w:top w:val="nil"/>
              <w:left w:val="nil"/>
              <w:bottom w:val="outset" w:sz="6" w:space="0" w:color="auto"/>
              <w:right w:val="single" w:sz="4" w:space="0" w:color="auto"/>
            </w:tcBorders>
            <w:vAlign w:val="center"/>
            <w:hideMark/>
          </w:tcPr>
          <w:p w:rsidR="00611C8B" w:rsidRPr="00DB6ED2" w:rsidRDefault="00611C8B" w:rsidP="00611C8B">
            <w:pPr>
              <w:jc w:val="center"/>
              <w:rPr>
                <w:b/>
                <w:sz w:val="20"/>
                <w:szCs w:val="20"/>
              </w:rPr>
            </w:pPr>
            <w:r w:rsidRPr="00DB6ED2">
              <w:rPr>
                <w:b/>
                <w:sz w:val="20"/>
                <w:szCs w:val="20"/>
              </w:rPr>
              <w:t>Posição Atual Carteira (R$)</w:t>
            </w:r>
          </w:p>
        </w:tc>
        <w:tc>
          <w:tcPr>
            <w:tcW w:w="993" w:type="dxa"/>
            <w:tcBorders>
              <w:top w:val="nil"/>
              <w:left w:val="single" w:sz="4" w:space="0" w:color="auto"/>
              <w:bottom w:val="outset" w:sz="6" w:space="0" w:color="auto"/>
              <w:right w:val="outset" w:sz="6" w:space="0" w:color="auto"/>
            </w:tcBorders>
            <w:vAlign w:val="center"/>
          </w:tcPr>
          <w:p w:rsidR="00611C8B" w:rsidRPr="00DB6ED2" w:rsidRDefault="00611C8B" w:rsidP="00611C8B">
            <w:pPr>
              <w:jc w:val="center"/>
              <w:rPr>
                <w:b/>
                <w:sz w:val="20"/>
                <w:szCs w:val="20"/>
              </w:rPr>
            </w:pPr>
            <w:r w:rsidRPr="00DB6ED2">
              <w:rPr>
                <w:b/>
                <w:sz w:val="20"/>
                <w:szCs w:val="20"/>
              </w:rPr>
              <w:t>Posição Atual Carteira (%)</w:t>
            </w:r>
          </w:p>
        </w:tc>
        <w:tc>
          <w:tcPr>
            <w:tcW w:w="992" w:type="dxa"/>
            <w:tcBorders>
              <w:top w:val="nil"/>
              <w:left w:val="nil"/>
              <w:bottom w:val="outset" w:sz="6" w:space="0" w:color="auto"/>
              <w:right w:val="outset" w:sz="6" w:space="0" w:color="auto"/>
            </w:tcBorders>
            <w:vAlign w:val="center"/>
            <w:hideMark/>
          </w:tcPr>
          <w:p w:rsidR="00611C8B" w:rsidRPr="00DB6ED2" w:rsidRDefault="00611C8B" w:rsidP="00611C8B">
            <w:pPr>
              <w:jc w:val="center"/>
              <w:rPr>
                <w:b/>
                <w:sz w:val="20"/>
                <w:szCs w:val="20"/>
              </w:rPr>
            </w:pPr>
            <w:r w:rsidRPr="00DB6ED2">
              <w:rPr>
                <w:b/>
                <w:sz w:val="20"/>
                <w:szCs w:val="20"/>
              </w:rPr>
              <w:t xml:space="preserve">LIMITE INFERIOR </w:t>
            </w:r>
            <w:r>
              <w:rPr>
                <w:b/>
                <w:sz w:val="20"/>
                <w:szCs w:val="20"/>
              </w:rPr>
              <w:t>(</w:t>
            </w:r>
            <w:r w:rsidRPr="00DB6ED2">
              <w:rPr>
                <w:b/>
                <w:sz w:val="20"/>
                <w:szCs w:val="20"/>
              </w:rPr>
              <w:t>%</w:t>
            </w:r>
            <w:r>
              <w:rPr>
                <w:b/>
                <w:sz w:val="20"/>
                <w:szCs w:val="20"/>
              </w:rPr>
              <w:t>)</w:t>
            </w:r>
          </w:p>
        </w:tc>
        <w:tc>
          <w:tcPr>
            <w:tcW w:w="1134" w:type="dxa"/>
            <w:tcBorders>
              <w:top w:val="nil"/>
              <w:left w:val="nil"/>
              <w:bottom w:val="outset" w:sz="6" w:space="0" w:color="auto"/>
              <w:right w:val="outset" w:sz="6" w:space="0" w:color="auto"/>
            </w:tcBorders>
            <w:vAlign w:val="center"/>
            <w:hideMark/>
          </w:tcPr>
          <w:p w:rsidR="00611C8B" w:rsidRPr="00DB6ED2" w:rsidRDefault="00611C8B" w:rsidP="00611C8B">
            <w:pPr>
              <w:spacing w:after="0"/>
              <w:jc w:val="center"/>
              <w:rPr>
                <w:b/>
                <w:sz w:val="20"/>
                <w:szCs w:val="20"/>
              </w:rPr>
            </w:pPr>
            <w:r w:rsidRPr="00DB6ED2">
              <w:rPr>
                <w:b/>
                <w:sz w:val="20"/>
                <w:szCs w:val="20"/>
              </w:rPr>
              <w:t>ESTRATÉGIA</w:t>
            </w:r>
          </w:p>
          <w:p w:rsidR="00611C8B" w:rsidRPr="00DB6ED2" w:rsidRDefault="00611C8B" w:rsidP="00611C8B">
            <w:pPr>
              <w:spacing w:after="0"/>
              <w:jc w:val="center"/>
              <w:rPr>
                <w:b/>
                <w:sz w:val="20"/>
                <w:szCs w:val="20"/>
              </w:rPr>
            </w:pPr>
            <w:r w:rsidRPr="00DB6ED2">
              <w:rPr>
                <w:b/>
                <w:sz w:val="20"/>
                <w:szCs w:val="20"/>
              </w:rPr>
              <w:t xml:space="preserve">Alvo </w:t>
            </w:r>
            <w:r>
              <w:rPr>
                <w:b/>
                <w:sz w:val="20"/>
                <w:szCs w:val="20"/>
              </w:rPr>
              <w:t>(</w:t>
            </w:r>
            <w:r w:rsidRPr="00DB6ED2">
              <w:rPr>
                <w:b/>
                <w:sz w:val="20"/>
                <w:szCs w:val="20"/>
              </w:rPr>
              <w:t>%</w:t>
            </w:r>
            <w:r>
              <w:rPr>
                <w:b/>
                <w:sz w:val="20"/>
                <w:szCs w:val="20"/>
              </w:rPr>
              <w:t>)</w:t>
            </w:r>
          </w:p>
        </w:tc>
        <w:tc>
          <w:tcPr>
            <w:tcW w:w="992" w:type="dxa"/>
            <w:tcBorders>
              <w:top w:val="nil"/>
              <w:left w:val="nil"/>
              <w:bottom w:val="outset" w:sz="6" w:space="0" w:color="auto"/>
              <w:right w:val="outset" w:sz="6" w:space="0" w:color="auto"/>
            </w:tcBorders>
            <w:vAlign w:val="center"/>
            <w:hideMark/>
          </w:tcPr>
          <w:p w:rsidR="00611C8B" w:rsidRPr="00280366" w:rsidRDefault="00611C8B" w:rsidP="00611C8B">
            <w:pPr>
              <w:jc w:val="center"/>
              <w:rPr>
                <w:b/>
                <w:sz w:val="20"/>
                <w:szCs w:val="20"/>
              </w:rPr>
            </w:pPr>
            <w:r w:rsidRPr="00280366">
              <w:rPr>
                <w:b/>
                <w:sz w:val="20"/>
                <w:szCs w:val="20"/>
              </w:rPr>
              <w:t xml:space="preserve">LIMITE SUPERIOR </w:t>
            </w:r>
            <w:r>
              <w:rPr>
                <w:b/>
                <w:sz w:val="20"/>
                <w:szCs w:val="20"/>
              </w:rPr>
              <w:t>(</w:t>
            </w:r>
            <w:r w:rsidRPr="00280366">
              <w:rPr>
                <w:b/>
                <w:sz w:val="20"/>
                <w:szCs w:val="20"/>
              </w:rPr>
              <w:t>%</w:t>
            </w:r>
            <w:r>
              <w:rPr>
                <w:b/>
                <w:sz w:val="20"/>
                <w:szCs w:val="20"/>
              </w:rPr>
              <w:t>)</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b/>
                <w:sz w:val="20"/>
                <w:szCs w:val="20"/>
              </w:rPr>
            </w:pPr>
            <w:r w:rsidRPr="00280366">
              <w:rPr>
                <w:b/>
                <w:sz w:val="20"/>
                <w:szCs w:val="20"/>
              </w:rPr>
              <w:t>META DE RENTABILIDADE PARA O EXERCÍCIO POR TIPO DE ATIVO</w:t>
            </w:r>
          </w:p>
        </w:tc>
        <w:tc>
          <w:tcPr>
            <w:tcW w:w="1134" w:type="dxa"/>
            <w:tcBorders>
              <w:top w:val="nil"/>
              <w:left w:val="nil"/>
              <w:bottom w:val="outset" w:sz="6" w:space="0" w:color="auto"/>
              <w:right w:val="outset" w:sz="6" w:space="0" w:color="auto"/>
            </w:tcBorders>
          </w:tcPr>
          <w:p w:rsidR="00611C8B" w:rsidRPr="00280366" w:rsidRDefault="00611C8B" w:rsidP="00611C8B">
            <w:pPr>
              <w:jc w:val="center"/>
              <w:rPr>
                <w:b/>
                <w:sz w:val="20"/>
                <w:szCs w:val="20"/>
              </w:rPr>
            </w:pPr>
            <w:r w:rsidRPr="00280366">
              <w:rPr>
                <w:b/>
                <w:sz w:val="20"/>
                <w:szCs w:val="20"/>
              </w:rPr>
              <w:t>RESUMO DA ESTRATÉGIA</w:t>
            </w:r>
          </w:p>
        </w:tc>
        <w:tc>
          <w:tcPr>
            <w:tcW w:w="992" w:type="dxa"/>
            <w:tcBorders>
              <w:top w:val="nil"/>
              <w:left w:val="nil"/>
              <w:bottom w:val="outset" w:sz="6" w:space="0" w:color="auto"/>
              <w:right w:val="single" w:sz="4" w:space="0" w:color="auto"/>
            </w:tcBorders>
          </w:tcPr>
          <w:p w:rsidR="00611C8B" w:rsidRPr="00280366" w:rsidRDefault="00611C8B" w:rsidP="00611C8B">
            <w:pPr>
              <w:jc w:val="center"/>
              <w:rPr>
                <w:b/>
                <w:sz w:val="20"/>
                <w:szCs w:val="20"/>
              </w:rPr>
            </w:pPr>
            <w:r w:rsidRPr="00280366">
              <w:rPr>
                <w:b/>
                <w:sz w:val="20"/>
                <w:szCs w:val="20"/>
              </w:rPr>
              <w:t>LIMITE INFERIOR (%</w:t>
            </w:r>
            <w:r>
              <w:rPr>
                <w:b/>
                <w:sz w:val="20"/>
                <w:szCs w:val="20"/>
              </w:rPr>
              <w:t>)</w:t>
            </w:r>
          </w:p>
        </w:tc>
        <w:tc>
          <w:tcPr>
            <w:tcW w:w="1134" w:type="dxa"/>
            <w:tcBorders>
              <w:top w:val="nil"/>
              <w:left w:val="single" w:sz="4" w:space="0" w:color="auto"/>
              <w:bottom w:val="outset" w:sz="6" w:space="0" w:color="auto"/>
              <w:right w:val="outset" w:sz="6" w:space="0" w:color="auto"/>
            </w:tcBorders>
          </w:tcPr>
          <w:p w:rsidR="00611C8B" w:rsidRPr="00280366" w:rsidRDefault="00611C8B" w:rsidP="00611C8B">
            <w:pPr>
              <w:spacing w:after="0" w:line="240" w:lineRule="auto"/>
              <w:jc w:val="center"/>
              <w:rPr>
                <w:b/>
                <w:sz w:val="20"/>
                <w:szCs w:val="20"/>
              </w:rPr>
            </w:pPr>
            <w:r w:rsidRPr="00280366">
              <w:rPr>
                <w:b/>
                <w:sz w:val="20"/>
                <w:szCs w:val="20"/>
              </w:rPr>
              <w:t>LIMITE</w:t>
            </w:r>
          </w:p>
          <w:p w:rsidR="00611C8B" w:rsidRPr="00280366" w:rsidRDefault="00611C8B" w:rsidP="00611C8B">
            <w:pPr>
              <w:spacing w:after="0" w:line="240" w:lineRule="auto"/>
              <w:jc w:val="center"/>
              <w:rPr>
                <w:b/>
                <w:sz w:val="20"/>
                <w:szCs w:val="20"/>
              </w:rPr>
            </w:pPr>
            <w:r w:rsidRPr="00280366">
              <w:rPr>
                <w:b/>
                <w:sz w:val="20"/>
                <w:szCs w:val="20"/>
              </w:rPr>
              <w:t>SUPERIOR (%)</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Títulos Públicos de emissão do TN (Selic) 7º, I,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100,00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9,50%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Públicos Federais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FI 100% títulos TN – 7º, I, b</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100,00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C56DF2">
              <w:rPr>
                <w:sz w:val="20"/>
                <w:szCs w:val="20"/>
              </w:rPr>
              <w:t>R$ 117.268.273,82</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C56DF2">
              <w:rPr>
                <w:sz w:val="20"/>
                <w:szCs w:val="20"/>
              </w:rPr>
              <w:t>61,4506%</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Pr>
                <w:sz w:val="20"/>
                <w:szCs w:val="20"/>
              </w:rPr>
              <w:t>58,4506%</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9,50%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Públicos Federais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ETF – 100% Títulos Públicos, 7º, I, c</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9,50%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Públicos Federais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Diretamente em Operações Compromissadas com TP – 7º, II</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9,50%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Públicos Federais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FI Renda Fixa “Referenciado” – 7º, III,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60,00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60,00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10,00%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Públicos Federais &amp; Títulos Privados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60,00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 xml:space="preserve">ETF - Renda Fixa “Referenciado” – 7º, </w:t>
            </w:r>
            <w:r w:rsidRPr="00280366">
              <w:rPr>
                <w:sz w:val="20"/>
                <w:szCs w:val="20"/>
              </w:rPr>
              <w:lastRenderedPageBreak/>
              <w:t xml:space="preserve">III, b </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lastRenderedPageBreak/>
              <w:t>60,00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60,00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10,00%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 xml:space="preserve">Títulos Públicos </w:t>
            </w:r>
            <w:r w:rsidRPr="00280366">
              <w:rPr>
                <w:sz w:val="20"/>
                <w:szCs w:val="20"/>
              </w:rPr>
              <w:lastRenderedPageBreak/>
              <w:t>Federais &amp; Títulos Privados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lastRenderedPageBreak/>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60,00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lastRenderedPageBreak/>
              <w:t>FI Renda Fixa – Geral – 7º, IV,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40,00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C56DF2">
              <w:rPr>
                <w:sz w:val="20"/>
                <w:szCs w:val="20"/>
              </w:rPr>
              <w:t>R$ 73.565.061,58</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C56DF2">
              <w:rPr>
                <w:sz w:val="20"/>
                <w:szCs w:val="20"/>
              </w:rPr>
              <w:t>38,5494%</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40,00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10,00%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Públicos Federais &amp; Títulos Privados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40,00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ETF – Demais Indicadores Renda Fixa – 7º, IV, b</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40,00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40,00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10,00%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Públicos Federais &amp; Títulos Privados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40,00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Letras Imobiliárias Garantidas – 7º, V, b</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20,00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11%</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Imobiliário</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CDB - Certificado Depósito Bancário – 7º, VI,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15,00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10,00%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Risco Banco (FGC)</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15,00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Poupança – 7º, VI, b</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6,00%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Risco Banco (FGC)</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FI em Direitos Creditórios – Cota Sênior – 7º, VII,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 xml:space="preserve">Títulos Privados </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FI Renda Fixa "Crédito Privado" – 7º, VII, b</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Pr>
                <w:sz w:val="20"/>
                <w:szCs w:val="20"/>
              </w:rPr>
              <w:t>1,00%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12,00%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Privados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770"/>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 xml:space="preserve">FI Debêntures de Infraestrutura – 7º, </w:t>
            </w:r>
            <w:r w:rsidRPr="00280366">
              <w:rPr>
                <w:sz w:val="20"/>
                <w:szCs w:val="20"/>
              </w:rPr>
              <w:lastRenderedPageBreak/>
              <w:t>VII, c</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lastRenderedPageBreak/>
              <w:t>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12,50%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Títulos Privados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lastRenderedPageBreak/>
              <w:t>FI de Ações Índice com mínimo 50 ações – 8º, I,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30,00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30,00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Ações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30,00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 xml:space="preserve">ETF -  Índice de Ações (com no mínimo 50 ações) – 8º, I, b </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30,00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Ações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FI de Ações – Geral – 8º, II, a</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Ações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ETF – Demais índices de Ações – 8º, II, b</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Ações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20,00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FI Multimercado – Aberto – 8º, III,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10,00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Pr>
                <w:sz w:val="20"/>
                <w:szCs w:val="20"/>
              </w:rPr>
              <w:t>1,00%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11,50%</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Diversos fatores de risco</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r>
      <w:tr w:rsidR="00611C8B" w:rsidRPr="00280366" w:rsidTr="00611C8B">
        <w:trPr>
          <w:trHeight w:val="290"/>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FI em Participações – 8º, IV, a</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14%</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Participações em projetos</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 FI Imobiliário – 8º, IV, b</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r w:rsidRPr="00280366">
              <w:rPr>
                <w:sz w:val="20"/>
                <w:szCs w:val="20"/>
              </w:rPr>
              <w:t>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12%</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Imobiliário</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FI Ações - Mercado de Acesso -  8º, IV, c</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r w:rsidRPr="00280366">
              <w:rPr>
                <w:sz w:val="20"/>
                <w:szCs w:val="20"/>
              </w:rPr>
              <w:t>11,50%</w:t>
            </w:r>
          </w:p>
          <w:p w:rsidR="00611C8B" w:rsidRPr="00280366" w:rsidRDefault="00611C8B" w:rsidP="00611C8B">
            <w:pPr>
              <w:jc w:val="center"/>
              <w:rPr>
                <w:sz w:val="20"/>
                <w:szCs w:val="20"/>
              </w:rPr>
            </w:pP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r w:rsidRPr="00280366">
              <w:rPr>
                <w:sz w:val="20"/>
                <w:szCs w:val="20"/>
              </w:rPr>
              <w:t xml:space="preserve">Ações </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5,00</w:t>
            </w:r>
          </w:p>
        </w:tc>
      </w:tr>
      <w:tr w:rsidR="00611C8B" w:rsidRPr="00280366" w:rsidTr="00611C8B">
        <w:trPr>
          <w:trHeight w:val="838"/>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FIC e FIC FI - Renda Fixa - Dívida Externa -  9º - A, Inciso I</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p>
          <w:p w:rsidR="00611C8B" w:rsidRPr="00280366" w:rsidRDefault="00611C8B" w:rsidP="00611C8B">
            <w:pPr>
              <w:jc w:val="center"/>
              <w:rPr>
                <w:sz w:val="20"/>
                <w:szCs w:val="20"/>
              </w:rPr>
            </w:pPr>
            <w:r w:rsidRPr="00280366">
              <w:rPr>
                <w:sz w:val="20"/>
                <w:szCs w:val="20"/>
              </w:rPr>
              <w:t>11%</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p>
          <w:p w:rsidR="00611C8B" w:rsidRPr="00280366" w:rsidRDefault="00611C8B" w:rsidP="00611C8B">
            <w:pPr>
              <w:rPr>
                <w:sz w:val="20"/>
                <w:szCs w:val="20"/>
              </w:rPr>
            </w:pPr>
            <w:r w:rsidRPr="00280366">
              <w:rPr>
                <w:sz w:val="20"/>
                <w:szCs w:val="20"/>
              </w:rPr>
              <w:t>Dívida Externa</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r>
      <w:tr w:rsidR="00611C8B" w:rsidRPr="00280366" w:rsidTr="00611C8B">
        <w:trPr>
          <w:trHeight w:val="868"/>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lastRenderedPageBreak/>
              <w:t>FIC - Aberto - Investimento no Exterior - 9º - A, Inciso II</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p>
          <w:p w:rsidR="00611C8B" w:rsidRPr="00280366" w:rsidRDefault="00611C8B" w:rsidP="00611C8B">
            <w:pPr>
              <w:jc w:val="center"/>
              <w:rPr>
                <w:sz w:val="20"/>
                <w:szCs w:val="20"/>
              </w:rPr>
            </w:pPr>
            <w:r w:rsidRPr="00280366">
              <w:rPr>
                <w:sz w:val="20"/>
                <w:szCs w:val="20"/>
              </w:rPr>
              <w:t>11%</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p>
          <w:p w:rsidR="00611C8B" w:rsidRPr="00280366" w:rsidRDefault="00611C8B" w:rsidP="00611C8B">
            <w:pPr>
              <w:rPr>
                <w:sz w:val="20"/>
                <w:szCs w:val="20"/>
              </w:rPr>
            </w:pPr>
            <w:r w:rsidRPr="00280366">
              <w:rPr>
                <w:sz w:val="20"/>
                <w:szCs w:val="20"/>
              </w:rPr>
              <w:t>Diversos fatores de risco</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tcPr>
          <w:p w:rsidR="00611C8B" w:rsidRPr="00280366" w:rsidRDefault="00611C8B" w:rsidP="00611C8B">
            <w:pPr>
              <w:rPr>
                <w:sz w:val="20"/>
                <w:szCs w:val="20"/>
              </w:rPr>
            </w:pPr>
            <w:r w:rsidRPr="00280366">
              <w:rPr>
                <w:sz w:val="20"/>
                <w:szCs w:val="20"/>
              </w:rPr>
              <w:t>Fundos de Ações – BDR Nível I - 9º - A, Inciso III</w:t>
            </w:r>
          </w:p>
        </w:tc>
        <w:tc>
          <w:tcPr>
            <w:tcW w:w="993"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280366">
              <w:rPr>
                <w:sz w:val="20"/>
                <w:szCs w:val="20"/>
              </w:rPr>
              <w:t>0,00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Pr>
                <w:sz w:val="20"/>
                <w:szCs w:val="20"/>
              </w:rPr>
              <w:t>1,00%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p>
          <w:p w:rsidR="00611C8B" w:rsidRPr="00280366" w:rsidRDefault="00611C8B" w:rsidP="00611C8B">
            <w:pPr>
              <w:jc w:val="center"/>
              <w:rPr>
                <w:sz w:val="20"/>
                <w:szCs w:val="20"/>
              </w:rPr>
            </w:pPr>
            <w:r w:rsidRPr="00280366">
              <w:rPr>
                <w:sz w:val="20"/>
                <w:szCs w:val="20"/>
              </w:rPr>
              <w:t>10,00</w:t>
            </w: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p>
          <w:p w:rsidR="00611C8B" w:rsidRPr="00280366" w:rsidRDefault="00611C8B" w:rsidP="00611C8B">
            <w:pPr>
              <w:jc w:val="center"/>
              <w:rPr>
                <w:sz w:val="20"/>
                <w:szCs w:val="20"/>
              </w:rPr>
            </w:pPr>
            <w:r w:rsidRPr="00280366">
              <w:rPr>
                <w:sz w:val="20"/>
                <w:szCs w:val="20"/>
              </w:rPr>
              <w:t>15%</w:t>
            </w: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p>
          <w:p w:rsidR="00611C8B" w:rsidRPr="00280366" w:rsidRDefault="00611C8B" w:rsidP="00611C8B">
            <w:pPr>
              <w:rPr>
                <w:sz w:val="20"/>
                <w:szCs w:val="20"/>
              </w:rPr>
            </w:pPr>
            <w:r w:rsidRPr="00280366">
              <w:rPr>
                <w:sz w:val="20"/>
                <w:szCs w:val="20"/>
              </w:rPr>
              <w:t>Ações - BDR</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0,00</w:t>
            </w: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w:t>
            </w:r>
          </w:p>
        </w:tc>
      </w:tr>
      <w:tr w:rsidR="00611C8B" w:rsidRPr="00280366" w:rsidTr="00611C8B">
        <w:trPr>
          <w:trHeight w:val="254"/>
        </w:trPr>
        <w:tc>
          <w:tcPr>
            <w:tcW w:w="1701" w:type="dxa"/>
            <w:tcBorders>
              <w:top w:val="nil"/>
              <w:left w:val="outset" w:sz="6" w:space="0" w:color="auto"/>
              <w:bottom w:val="outset" w:sz="6" w:space="0" w:color="auto"/>
              <w:right w:val="outset" w:sz="6" w:space="0" w:color="auto"/>
            </w:tcBorders>
            <w:vAlign w:val="center"/>
            <w:hideMark/>
          </w:tcPr>
          <w:p w:rsidR="00611C8B" w:rsidRPr="00280366" w:rsidRDefault="00611C8B" w:rsidP="00611C8B">
            <w:pPr>
              <w:rPr>
                <w:sz w:val="20"/>
                <w:szCs w:val="20"/>
              </w:rPr>
            </w:pPr>
            <w:r w:rsidRPr="00280366">
              <w:rPr>
                <w:sz w:val="20"/>
                <w:szCs w:val="20"/>
              </w:rPr>
              <w:t>TOTAL</w:t>
            </w:r>
          </w:p>
        </w:tc>
        <w:tc>
          <w:tcPr>
            <w:tcW w:w="993" w:type="dxa"/>
            <w:tcBorders>
              <w:top w:val="nil"/>
              <w:left w:val="nil"/>
              <w:bottom w:val="outset" w:sz="6" w:space="0" w:color="auto"/>
              <w:right w:val="outset" w:sz="6" w:space="0" w:color="auto"/>
            </w:tcBorders>
            <w:vAlign w:val="center"/>
            <w:hideMark/>
          </w:tcPr>
          <w:p w:rsidR="00611C8B" w:rsidRPr="00280366" w:rsidRDefault="00611C8B" w:rsidP="00611C8B">
            <w:pPr>
              <w:jc w:val="center"/>
              <w:rPr>
                <w:sz w:val="20"/>
                <w:szCs w:val="20"/>
              </w:rPr>
            </w:pPr>
          </w:p>
        </w:tc>
        <w:tc>
          <w:tcPr>
            <w:tcW w:w="1559" w:type="dxa"/>
            <w:tcBorders>
              <w:top w:val="nil"/>
              <w:left w:val="nil"/>
              <w:bottom w:val="outset" w:sz="6" w:space="0" w:color="auto"/>
              <w:right w:val="single" w:sz="4" w:space="0" w:color="auto"/>
            </w:tcBorders>
            <w:vAlign w:val="center"/>
          </w:tcPr>
          <w:p w:rsidR="00611C8B" w:rsidRPr="00280366" w:rsidRDefault="00611C8B" w:rsidP="00611C8B">
            <w:pPr>
              <w:jc w:val="center"/>
              <w:rPr>
                <w:sz w:val="20"/>
                <w:szCs w:val="20"/>
              </w:rPr>
            </w:pPr>
            <w:r w:rsidRPr="00C56DF2">
              <w:rPr>
                <w:sz w:val="20"/>
                <w:szCs w:val="20"/>
              </w:rPr>
              <w:t>R$ 190.833.333,40</w:t>
            </w:r>
          </w:p>
        </w:tc>
        <w:tc>
          <w:tcPr>
            <w:tcW w:w="993" w:type="dxa"/>
            <w:tcBorders>
              <w:top w:val="nil"/>
              <w:left w:val="single" w:sz="4" w:space="0" w:color="auto"/>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p>
        </w:tc>
        <w:tc>
          <w:tcPr>
            <w:tcW w:w="1134"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r w:rsidRPr="00280366">
              <w:rPr>
                <w:sz w:val="20"/>
                <w:szCs w:val="20"/>
              </w:rPr>
              <w:t>100,00</w:t>
            </w:r>
          </w:p>
        </w:tc>
        <w:tc>
          <w:tcPr>
            <w:tcW w:w="992" w:type="dxa"/>
            <w:tcBorders>
              <w:top w:val="nil"/>
              <w:left w:val="nil"/>
              <w:bottom w:val="outset" w:sz="6" w:space="0" w:color="auto"/>
              <w:right w:val="outset" w:sz="6" w:space="0" w:color="auto"/>
            </w:tcBorders>
            <w:vAlign w:val="center"/>
          </w:tcPr>
          <w:p w:rsidR="00611C8B" w:rsidRPr="00280366" w:rsidRDefault="00611C8B" w:rsidP="00611C8B">
            <w:pPr>
              <w:jc w:val="center"/>
              <w:rPr>
                <w:sz w:val="20"/>
                <w:szCs w:val="20"/>
              </w:rPr>
            </w:pPr>
          </w:p>
        </w:tc>
        <w:tc>
          <w:tcPr>
            <w:tcW w:w="1276" w:type="dxa"/>
            <w:tcBorders>
              <w:top w:val="nil"/>
              <w:left w:val="nil"/>
              <w:bottom w:val="outset" w:sz="6" w:space="0" w:color="auto"/>
              <w:right w:val="outset" w:sz="6" w:space="0" w:color="auto"/>
            </w:tcBorders>
          </w:tcPr>
          <w:p w:rsidR="00611C8B" w:rsidRPr="00280366" w:rsidRDefault="00611C8B" w:rsidP="00611C8B">
            <w:pPr>
              <w:jc w:val="center"/>
              <w:rPr>
                <w:sz w:val="20"/>
                <w:szCs w:val="20"/>
              </w:rPr>
            </w:pPr>
          </w:p>
        </w:tc>
        <w:tc>
          <w:tcPr>
            <w:tcW w:w="1134" w:type="dxa"/>
            <w:tcBorders>
              <w:top w:val="nil"/>
              <w:left w:val="nil"/>
              <w:bottom w:val="outset" w:sz="6" w:space="0" w:color="auto"/>
              <w:right w:val="outset" w:sz="6" w:space="0" w:color="auto"/>
            </w:tcBorders>
          </w:tcPr>
          <w:p w:rsidR="00611C8B" w:rsidRPr="00280366" w:rsidRDefault="00611C8B" w:rsidP="00611C8B">
            <w:pPr>
              <w:rPr>
                <w:sz w:val="20"/>
                <w:szCs w:val="20"/>
              </w:rPr>
            </w:pPr>
          </w:p>
        </w:tc>
        <w:tc>
          <w:tcPr>
            <w:tcW w:w="992" w:type="dxa"/>
            <w:tcBorders>
              <w:top w:val="nil"/>
              <w:left w:val="nil"/>
              <w:bottom w:val="outset" w:sz="6" w:space="0" w:color="auto"/>
              <w:right w:val="single" w:sz="4" w:space="0" w:color="auto"/>
            </w:tcBorders>
          </w:tcPr>
          <w:p w:rsidR="00611C8B" w:rsidRPr="00280366" w:rsidRDefault="00611C8B" w:rsidP="00611C8B">
            <w:pPr>
              <w:jc w:val="center"/>
              <w:rPr>
                <w:sz w:val="20"/>
                <w:szCs w:val="20"/>
              </w:rPr>
            </w:pPr>
          </w:p>
        </w:tc>
        <w:tc>
          <w:tcPr>
            <w:tcW w:w="1134" w:type="dxa"/>
            <w:tcBorders>
              <w:top w:val="nil"/>
              <w:left w:val="single" w:sz="4" w:space="0" w:color="auto"/>
              <w:bottom w:val="outset" w:sz="6" w:space="0" w:color="auto"/>
              <w:right w:val="outset" w:sz="6" w:space="0" w:color="auto"/>
            </w:tcBorders>
          </w:tcPr>
          <w:p w:rsidR="00611C8B" w:rsidRPr="00280366" w:rsidRDefault="00611C8B" w:rsidP="00611C8B">
            <w:pPr>
              <w:jc w:val="center"/>
              <w:rPr>
                <w:sz w:val="20"/>
                <w:szCs w:val="20"/>
              </w:rPr>
            </w:pPr>
          </w:p>
        </w:tc>
      </w:tr>
    </w:tbl>
    <w:p w:rsidR="00611C8B" w:rsidRPr="00352ECA" w:rsidRDefault="00611C8B" w:rsidP="00611C8B">
      <w:pPr>
        <w:autoSpaceDE w:val="0"/>
        <w:autoSpaceDN w:val="0"/>
        <w:adjustRightInd w:val="0"/>
        <w:spacing w:after="0" w:line="240" w:lineRule="auto"/>
        <w:ind w:left="426" w:hanging="426"/>
        <w:jc w:val="center"/>
        <w:rPr>
          <w:rFonts w:ascii="Arial" w:hAnsi="Arial" w:cs="Arial"/>
          <w:b/>
          <w:bCs/>
          <w:sz w:val="24"/>
          <w:szCs w:val="24"/>
        </w:rPr>
      </w:pPr>
    </w:p>
    <w:p w:rsidR="00611C8B" w:rsidRPr="006C6C52" w:rsidRDefault="00611C8B" w:rsidP="003471CC">
      <w:pPr>
        <w:tabs>
          <w:tab w:val="left" w:pos="3750"/>
        </w:tabs>
        <w:spacing w:after="0"/>
        <w:jc w:val="both"/>
        <w:rPr>
          <w:rFonts w:ascii="Bookman Old Style" w:hAnsi="Bookman Old Style" w:cs="Arial"/>
          <w:b/>
          <w:sz w:val="21"/>
          <w:szCs w:val="21"/>
        </w:rPr>
      </w:pPr>
    </w:p>
    <w:sectPr w:rsidR="00611C8B" w:rsidRPr="006C6C52" w:rsidSect="00611C8B">
      <w:pgSz w:w="16838" w:h="11906" w:orient="landscape"/>
      <w:pgMar w:top="1134" w:right="851" w:bottom="84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6E51" w:rsidRDefault="00F56E51" w:rsidP="00611C8B">
      <w:pPr>
        <w:spacing w:after="0" w:line="240" w:lineRule="auto"/>
      </w:pPr>
      <w:r>
        <w:separator/>
      </w:r>
    </w:p>
  </w:endnote>
  <w:endnote w:type="continuationSeparator" w:id="0">
    <w:p w:rsidR="00F56E51" w:rsidRDefault="00F56E51" w:rsidP="00611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Bold">
    <w:altName w:val="Tahom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manOldStyle">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6E51" w:rsidRDefault="00F56E51" w:rsidP="00611C8B">
      <w:pPr>
        <w:spacing w:after="0" w:line="240" w:lineRule="auto"/>
      </w:pPr>
      <w:r>
        <w:separator/>
      </w:r>
    </w:p>
  </w:footnote>
  <w:footnote w:type="continuationSeparator" w:id="0">
    <w:p w:rsidR="00F56E51" w:rsidRDefault="00F56E51" w:rsidP="00611C8B">
      <w:pPr>
        <w:spacing w:after="0" w:line="240" w:lineRule="auto"/>
      </w:pPr>
      <w:r>
        <w:continuationSeparator/>
      </w:r>
    </w:p>
  </w:footnote>
  <w:footnote w:id="1">
    <w:p w:rsidR="00611C8B" w:rsidRDefault="00611C8B" w:rsidP="00611C8B">
      <w:pPr>
        <w:pStyle w:val="Textodenotaderodap"/>
      </w:pPr>
      <w:r>
        <w:rPr>
          <w:rStyle w:val="Refdenotaderodap"/>
        </w:rPr>
        <w:footnoteRef/>
      </w:r>
      <w:r>
        <w:t xml:space="preserve"> </w:t>
      </w:r>
      <w:r w:rsidRPr="00820109">
        <w:rPr>
          <w:sz w:val="12"/>
          <w:szCs w:val="12"/>
        </w:rPr>
        <w:t>RPPS – Regime Próprio de Previdência Social</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A6019"/>
    <w:multiLevelType w:val="multilevel"/>
    <w:tmpl w:val="33C42C28"/>
    <w:lvl w:ilvl="0">
      <w:start w:val="1"/>
      <w:numFmt w:val="decimal"/>
      <w:lvlText w:val="%1."/>
      <w:lvlJc w:val="left"/>
      <w:pPr>
        <w:ind w:left="720" w:hanging="360"/>
      </w:pPr>
      <w:rPr>
        <w:rFonts w:cs="Tahoma,Bold" w:hint="default"/>
      </w:rPr>
    </w:lvl>
    <w:lvl w:ilvl="1">
      <w:start w:val="2"/>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D756659"/>
    <w:multiLevelType w:val="hybridMultilevel"/>
    <w:tmpl w:val="696CBBAE"/>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5354197"/>
    <w:multiLevelType w:val="hybridMultilevel"/>
    <w:tmpl w:val="74C642A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C7377F3"/>
    <w:multiLevelType w:val="hybridMultilevel"/>
    <w:tmpl w:val="CC56B01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0BD"/>
    <w:rsid w:val="00020C6F"/>
    <w:rsid w:val="00022F8F"/>
    <w:rsid w:val="00026D9E"/>
    <w:rsid w:val="00027BC8"/>
    <w:rsid w:val="00027D18"/>
    <w:rsid w:val="00027E45"/>
    <w:rsid w:val="00036527"/>
    <w:rsid w:val="0004258D"/>
    <w:rsid w:val="00046798"/>
    <w:rsid w:val="00050A91"/>
    <w:rsid w:val="00060984"/>
    <w:rsid w:val="00060E90"/>
    <w:rsid w:val="0006581C"/>
    <w:rsid w:val="0007165B"/>
    <w:rsid w:val="00074E90"/>
    <w:rsid w:val="00074EE1"/>
    <w:rsid w:val="00077CF2"/>
    <w:rsid w:val="00080BC0"/>
    <w:rsid w:val="00090EFF"/>
    <w:rsid w:val="00095755"/>
    <w:rsid w:val="000A15CA"/>
    <w:rsid w:val="000A3245"/>
    <w:rsid w:val="000A4079"/>
    <w:rsid w:val="000C0E35"/>
    <w:rsid w:val="000C10F9"/>
    <w:rsid w:val="000C1C0B"/>
    <w:rsid w:val="000C2140"/>
    <w:rsid w:val="000C5504"/>
    <w:rsid w:val="000D3427"/>
    <w:rsid w:val="000E5582"/>
    <w:rsid w:val="000E7977"/>
    <w:rsid w:val="000F2A60"/>
    <w:rsid w:val="000F5C63"/>
    <w:rsid w:val="00104960"/>
    <w:rsid w:val="00107D35"/>
    <w:rsid w:val="001158EA"/>
    <w:rsid w:val="00130AAA"/>
    <w:rsid w:val="00133BB4"/>
    <w:rsid w:val="0014059A"/>
    <w:rsid w:val="00140E4C"/>
    <w:rsid w:val="0015384C"/>
    <w:rsid w:val="00173AE5"/>
    <w:rsid w:val="0019335E"/>
    <w:rsid w:val="00195A42"/>
    <w:rsid w:val="001A0AFE"/>
    <w:rsid w:val="001A268B"/>
    <w:rsid w:val="001A2775"/>
    <w:rsid w:val="001F0D4D"/>
    <w:rsid w:val="00204FFC"/>
    <w:rsid w:val="00207F4E"/>
    <w:rsid w:val="002227C0"/>
    <w:rsid w:val="00234FCD"/>
    <w:rsid w:val="00240DCF"/>
    <w:rsid w:val="0024157C"/>
    <w:rsid w:val="00242E59"/>
    <w:rsid w:val="00245062"/>
    <w:rsid w:val="002632E5"/>
    <w:rsid w:val="0026568E"/>
    <w:rsid w:val="0026681C"/>
    <w:rsid w:val="00267177"/>
    <w:rsid w:val="00272A05"/>
    <w:rsid w:val="00274DC9"/>
    <w:rsid w:val="00282C48"/>
    <w:rsid w:val="0029279D"/>
    <w:rsid w:val="002967C8"/>
    <w:rsid w:val="002A18AD"/>
    <w:rsid w:val="002A7F37"/>
    <w:rsid w:val="002C1613"/>
    <w:rsid w:val="002C1ABB"/>
    <w:rsid w:val="002E1EF2"/>
    <w:rsid w:val="002E30BD"/>
    <w:rsid w:val="002F7403"/>
    <w:rsid w:val="003006C8"/>
    <w:rsid w:val="0032248B"/>
    <w:rsid w:val="00324BC2"/>
    <w:rsid w:val="00333333"/>
    <w:rsid w:val="003345AA"/>
    <w:rsid w:val="003471CC"/>
    <w:rsid w:val="00360225"/>
    <w:rsid w:val="003624C9"/>
    <w:rsid w:val="003632FC"/>
    <w:rsid w:val="00371588"/>
    <w:rsid w:val="00374DA1"/>
    <w:rsid w:val="003811A6"/>
    <w:rsid w:val="00382D5A"/>
    <w:rsid w:val="00393B78"/>
    <w:rsid w:val="003957DA"/>
    <w:rsid w:val="00396781"/>
    <w:rsid w:val="003972F3"/>
    <w:rsid w:val="003A06EB"/>
    <w:rsid w:val="003A0C4B"/>
    <w:rsid w:val="003A4943"/>
    <w:rsid w:val="003A5D4E"/>
    <w:rsid w:val="003B0392"/>
    <w:rsid w:val="003B446C"/>
    <w:rsid w:val="003C7036"/>
    <w:rsid w:val="00402AA0"/>
    <w:rsid w:val="00411B84"/>
    <w:rsid w:val="004135CD"/>
    <w:rsid w:val="0041376F"/>
    <w:rsid w:val="00414E7F"/>
    <w:rsid w:val="004215C7"/>
    <w:rsid w:val="0042218E"/>
    <w:rsid w:val="004234F1"/>
    <w:rsid w:val="00431B87"/>
    <w:rsid w:val="00437D8C"/>
    <w:rsid w:val="00440E72"/>
    <w:rsid w:val="00441FA5"/>
    <w:rsid w:val="004714BB"/>
    <w:rsid w:val="00477EE9"/>
    <w:rsid w:val="00477FA0"/>
    <w:rsid w:val="004824C4"/>
    <w:rsid w:val="004B088E"/>
    <w:rsid w:val="004B1122"/>
    <w:rsid w:val="004C0CBC"/>
    <w:rsid w:val="004E729A"/>
    <w:rsid w:val="004F46CC"/>
    <w:rsid w:val="004F4DCB"/>
    <w:rsid w:val="00504042"/>
    <w:rsid w:val="00504D8D"/>
    <w:rsid w:val="0050602A"/>
    <w:rsid w:val="005075DB"/>
    <w:rsid w:val="005108C1"/>
    <w:rsid w:val="00511189"/>
    <w:rsid w:val="00515D17"/>
    <w:rsid w:val="00517043"/>
    <w:rsid w:val="00517164"/>
    <w:rsid w:val="0054095E"/>
    <w:rsid w:val="005473B4"/>
    <w:rsid w:val="005621EB"/>
    <w:rsid w:val="005702FC"/>
    <w:rsid w:val="00570E56"/>
    <w:rsid w:val="00573802"/>
    <w:rsid w:val="00573850"/>
    <w:rsid w:val="00576362"/>
    <w:rsid w:val="005816AA"/>
    <w:rsid w:val="00587F57"/>
    <w:rsid w:val="00594FAB"/>
    <w:rsid w:val="005959A4"/>
    <w:rsid w:val="005A15EE"/>
    <w:rsid w:val="005A34B9"/>
    <w:rsid w:val="005B07D9"/>
    <w:rsid w:val="005B40D0"/>
    <w:rsid w:val="005C742E"/>
    <w:rsid w:val="005D0442"/>
    <w:rsid w:val="005D32FA"/>
    <w:rsid w:val="005D55DD"/>
    <w:rsid w:val="005F1656"/>
    <w:rsid w:val="005F6573"/>
    <w:rsid w:val="00603869"/>
    <w:rsid w:val="006045EF"/>
    <w:rsid w:val="006107E4"/>
    <w:rsid w:val="00611C8B"/>
    <w:rsid w:val="00622CA6"/>
    <w:rsid w:val="00623FD7"/>
    <w:rsid w:val="006301FD"/>
    <w:rsid w:val="006366C1"/>
    <w:rsid w:val="00640172"/>
    <w:rsid w:val="00641BC9"/>
    <w:rsid w:val="0065186E"/>
    <w:rsid w:val="00652D48"/>
    <w:rsid w:val="00653669"/>
    <w:rsid w:val="00655D33"/>
    <w:rsid w:val="00664052"/>
    <w:rsid w:val="006640A3"/>
    <w:rsid w:val="0066769E"/>
    <w:rsid w:val="0067298F"/>
    <w:rsid w:val="00673D6A"/>
    <w:rsid w:val="00677D00"/>
    <w:rsid w:val="00680856"/>
    <w:rsid w:val="006861B7"/>
    <w:rsid w:val="00695CB3"/>
    <w:rsid w:val="00696804"/>
    <w:rsid w:val="00697BA3"/>
    <w:rsid w:val="006A59F9"/>
    <w:rsid w:val="006C60E0"/>
    <w:rsid w:val="006C6AA5"/>
    <w:rsid w:val="006C6C52"/>
    <w:rsid w:val="006D109E"/>
    <w:rsid w:val="006E1B1C"/>
    <w:rsid w:val="006F5F57"/>
    <w:rsid w:val="00704DA6"/>
    <w:rsid w:val="00711AD9"/>
    <w:rsid w:val="007243CC"/>
    <w:rsid w:val="00725AEF"/>
    <w:rsid w:val="00726309"/>
    <w:rsid w:val="00731635"/>
    <w:rsid w:val="00744E52"/>
    <w:rsid w:val="00755D0F"/>
    <w:rsid w:val="00757A82"/>
    <w:rsid w:val="007636F5"/>
    <w:rsid w:val="00763FE2"/>
    <w:rsid w:val="00766F73"/>
    <w:rsid w:val="007703B6"/>
    <w:rsid w:val="00773099"/>
    <w:rsid w:val="00780A18"/>
    <w:rsid w:val="00783141"/>
    <w:rsid w:val="00795539"/>
    <w:rsid w:val="00795FC5"/>
    <w:rsid w:val="007A0379"/>
    <w:rsid w:val="007A116B"/>
    <w:rsid w:val="007A30E9"/>
    <w:rsid w:val="007B1340"/>
    <w:rsid w:val="007B3FAD"/>
    <w:rsid w:val="007B5FDC"/>
    <w:rsid w:val="007C1243"/>
    <w:rsid w:val="007C3DED"/>
    <w:rsid w:val="007C480B"/>
    <w:rsid w:val="007D4259"/>
    <w:rsid w:val="007E179A"/>
    <w:rsid w:val="00800423"/>
    <w:rsid w:val="00803157"/>
    <w:rsid w:val="008064A1"/>
    <w:rsid w:val="00813C50"/>
    <w:rsid w:val="00820056"/>
    <w:rsid w:val="00820392"/>
    <w:rsid w:val="00831E43"/>
    <w:rsid w:val="00836D91"/>
    <w:rsid w:val="00846169"/>
    <w:rsid w:val="00851B36"/>
    <w:rsid w:val="008538D1"/>
    <w:rsid w:val="008613D8"/>
    <w:rsid w:val="0086734E"/>
    <w:rsid w:val="00875DF1"/>
    <w:rsid w:val="00882F1C"/>
    <w:rsid w:val="008854AC"/>
    <w:rsid w:val="00887FA0"/>
    <w:rsid w:val="008907C4"/>
    <w:rsid w:val="00892CD4"/>
    <w:rsid w:val="008A30FF"/>
    <w:rsid w:val="008B14D3"/>
    <w:rsid w:val="008C34BD"/>
    <w:rsid w:val="008C45B8"/>
    <w:rsid w:val="008D082C"/>
    <w:rsid w:val="008D0D0C"/>
    <w:rsid w:val="008D35B5"/>
    <w:rsid w:val="008F2189"/>
    <w:rsid w:val="008F4AA7"/>
    <w:rsid w:val="00902655"/>
    <w:rsid w:val="00905E63"/>
    <w:rsid w:val="00910783"/>
    <w:rsid w:val="00931E06"/>
    <w:rsid w:val="009354B8"/>
    <w:rsid w:val="00953F4F"/>
    <w:rsid w:val="009546BE"/>
    <w:rsid w:val="00954AF3"/>
    <w:rsid w:val="00955791"/>
    <w:rsid w:val="00962A00"/>
    <w:rsid w:val="00962E80"/>
    <w:rsid w:val="00977A01"/>
    <w:rsid w:val="009809B7"/>
    <w:rsid w:val="009812FA"/>
    <w:rsid w:val="00982740"/>
    <w:rsid w:val="009832A0"/>
    <w:rsid w:val="00983694"/>
    <w:rsid w:val="00983C28"/>
    <w:rsid w:val="009A0E6D"/>
    <w:rsid w:val="009A5A3C"/>
    <w:rsid w:val="009B5DD5"/>
    <w:rsid w:val="009C1CC1"/>
    <w:rsid w:val="009C4E9A"/>
    <w:rsid w:val="009C7947"/>
    <w:rsid w:val="009E5ECB"/>
    <w:rsid w:val="00A071F4"/>
    <w:rsid w:val="00A165C5"/>
    <w:rsid w:val="00A17A7B"/>
    <w:rsid w:val="00A202FD"/>
    <w:rsid w:val="00A263FA"/>
    <w:rsid w:val="00A27502"/>
    <w:rsid w:val="00A401C4"/>
    <w:rsid w:val="00A635E7"/>
    <w:rsid w:val="00A71393"/>
    <w:rsid w:val="00A73676"/>
    <w:rsid w:val="00A75D28"/>
    <w:rsid w:val="00A77857"/>
    <w:rsid w:val="00A81355"/>
    <w:rsid w:val="00A82266"/>
    <w:rsid w:val="00A85466"/>
    <w:rsid w:val="00A92580"/>
    <w:rsid w:val="00AB328B"/>
    <w:rsid w:val="00AB59DC"/>
    <w:rsid w:val="00AB709E"/>
    <w:rsid w:val="00AB718C"/>
    <w:rsid w:val="00AC3228"/>
    <w:rsid w:val="00AC3924"/>
    <w:rsid w:val="00AC4187"/>
    <w:rsid w:val="00AD16B2"/>
    <w:rsid w:val="00AD3C8A"/>
    <w:rsid w:val="00AD6E46"/>
    <w:rsid w:val="00AE20D6"/>
    <w:rsid w:val="00AE27CF"/>
    <w:rsid w:val="00AE7F23"/>
    <w:rsid w:val="00B011A2"/>
    <w:rsid w:val="00B20B3A"/>
    <w:rsid w:val="00B267E9"/>
    <w:rsid w:val="00B37D5B"/>
    <w:rsid w:val="00B41BCB"/>
    <w:rsid w:val="00B4369B"/>
    <w:rsid w:val="00B55E91"/>
    <w:rsid w:val="00B630BA"/>
    <w:rsid w:val="00B66D71"/>
    <w:rsid w:val="00B720EC"/>
    <w:rsid w:val="00B7300A"/>
    <w:rsid w:val="00B75DF5"/>
    <w:rsid w:val="00B77EBB"/>
    <w:rsid w:val="00B81360"/>
    <w:rsid w:val="00B822E2"/>
    <w:rsid w:val="00B97AA5"/>
    <w:rsid w:val="00BA1E3A"/>
    <w:rsid w:val="00BB20FE"/>
    <w:rsid w:val="00BC1915"/>
    <w:rsid w:val="00BD4F5E"/>
    <w:rsid w:val="00BD5DA9"/>
    <w:rsid w:val="00BE031E"/>
    <w:rsid w:val="00BE4BBE"/>
    <w:rsid w:val="00BF148B"/>
    <w:rsid w:val="00C066C5"/>
    <w:rsid w:val="00C109FB"/>
    <w:rsid w:val="00C11777"/>
    <w:rsid w:val="00C30583"/>
    <w:rsid w:val="00C337B2"/>
    <w:rsid w:val="00C45DB7"/>
    <w:rsid w:val="00C627AF"/>
    <w:rsid w:val="00C73263"/>
    <w:rsid w:val="00C874F2"/>
    <w:rsid w:val="00CA714F"/>
    <w:rsid w:val="00CB68C8"/>
    <w:rsid w:val="00CC409E"/>
    <w:rsid w:val="00CD2A4A"/>
    <w:rsid w:val="00CD339C"/>
    <w:rsid w:val="00CD3737"/>
    <w:rsid w:val="00CD4EDE"/>
    <w:rsid w:val="00CE6A38"/>
    <w:rsid w:val="00CE75BF"/>
    <w:rsid w:val="00CE7A1C"/>
    <w:rsid w:val="00D03D76"/>
    <w:rsid w:val="00D0692F"/>
    <w:rsid w:val="00D17915"/>
    <w:rsid w:val="00D17BF0"/>
    <w:rsid w:val="00D17EE2"/>
    <w:rsid w:val="00D26904"/>
    <w:rsid w:val="00D309DD"/>
    <w:rsid w:val="00D323BA"/>
    <w:rsid w:val="00D32A54"/>
    <w:rsid w:val="00D4714A"/>
    <w:rsid w:val="00D536B5"/>
    <w:rsid w:val="00D57C20"/>
    <w:rsid w:val="00D7189F"/>
    <w:rsid w:val="00D74DA1"/>
    <w:rsid w:val="00DA22F1"/>
    <w:rsid w:val="00DA5770"/>
    <w:rsid w:val="00DD6B7F"/>
    <w:rsid w:val="00DE3346"/>
    <w:rsid w:val="00DE46C7"/>
    <w:rsid w:val="00DE6447"/>
    <w:rsid w:val="00DE7726"/>
    <w:rsid w:val="00DF23A8"/>
    <w:rsid w:val="00E009DF"/>
    <w:rsid w:val="00E20E2A"/>
    <w:rsid w:val="00E21609"/>
    <w:rsid w:val="00E2294C"/>
    <w:rsid w:val="00E30264"/>
    <w:rsid w:val="00E30E1F"/>
    <w:rsid w:val="00E3542D"/>
    <w:rsid w:val="00E35CDB"/>
    <w:rsid w:val="00E438E3"/>
    <w:rsid w:val="00E64B8F"/>
    <w:rsid w:val="00E665EB"/>
    <w:rsid w:val="00E70A9B"/>
    <w:rsid w:val="00E91BF9"/>
    <w:rsid w:val="00E95A59"/>
    <w:rsid w:val="00EA744B"/>
    <w:rsid w:val="00EA78EB"/>
    <w:rsid w:val="00EC7B06"/>
    <w:rsid w:val="00ED02CC"/>
    <w:rsid w:val="00ED3719"/>
    <w:rsid w:val="00EE495D"/>
    <w:rsid w:val="00EE6E60"/>
    <w:rsid w:val="00EF5C45"/>
    <w:rsid w:val="00EF6C61"/>
    <w:rsid w:val="00F00E1D"/>
    <w:rsid w:val="00F11B48"/>
    <w:rsid w:val="00F12E75"/>
    <w:rsid w:val="00F2341E"/>
    <w:rsid w:val="00F4171A"/>
    <w:rsid w:val="00F4489D"/>
    <w:rsid w:val="00F559C6"/>
    <w:rsid w:val="00F56BE5"/>
    <w:rsid w:val="00F56E51"/>
    <w:rsid w:val="00F63FBD"/>
    <w:rsid w:val="00F6521C"/>
    <w:rsid w:val="00F65273"/>
    <w:rsid w:val="00F66EB8"/>
    <w:rsid w:val="00F723D3"/>
    <w:rsid w:val="00F767B9"/>
    <w:rsid w:val="00F770DE"/>
    <w:rsid w:val="00F87787"/>
    <w:rsid w:val="00F9407C"/>
    <w:rsid w:val="00F9466A"/>
    <w:rsid w:val="00FB00A9"/>
    <w:rsid w:val="00FC1FC0"/>
    <w:rsid w:val="00FD1BC6"/>
    <w:rsid w:val="00FE6AE9"/>
    <w:rsid w:val="00FF54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628BF"/>
  <w15:docId w15:val="{D3572E58-9030-4465-8BBA-884C55C1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079"/>
  </w:style>
  <w:style w:type="paragraph" w:styleId="Ttulo1">
    <w:name w:val="heading 1"/>
    <w:basedOn w:val="Normal"/>
    <w:next w:val="Normal"/>
    <w:link w:val="Ttulo1Char"/>
    <w:uiPriority w:val="9"/>
    <w:qFormat/>
    <w:rsid w:val="00611C8B"/>
    <w:pPr>
      <w:keepNext/>
      <w:keepLines/>
      <w:spacing w:before="240" w:after="0"/>
      <w:outlineLvl w:val="0"/>
    </w:pPr>
    <w:rPr>
      <w:rFonts w:asciiTheme="majorHAnsi" w:eastAsiaTheme="majorEastAsia" w:hAnsiTheme="majorHAnsi" w:cstheme="majorBidi"/>
      <w:color w:val="365F91" w:themeColor="accent1" w:themeShade="BF"/>
      <w:sz w:val="32"/>
      <w:szCs w:val="3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11C8B"/>
    <w:rPr>
      <w:rFonts w:asciiTheme="majorHAnsi" w:eastAsiaTheme="majorEastAsia" w:hAnsiTheme="majorHAnsi" w:cstheme="majorBidi"/>
      <w:color w:val="365F91" w:themeColor="accent1" w:themeShade="BF"/>
      <w:sz w:val="32"/>
      <w:szCs w:val="32"/>
      <w:lang w:eastAsia="en-US"/>
    </w:rPr>
  </w:style>
  <w:style w:type="paragraph" w:styleId="PargrafodaLista">
    <w:name w:val="List Paragraph"/>
    <w:basedOn w:val="Normal"/>
    <w:uiPriority w:val="34"/>
    <w:qFormat/>
    <w:rsid w:val="00AB59DC"/>
    <w:pPr>
      <w:ind w:left="720"/>
      <w:contextualSpacing/>
    </w:pPr>
  </w:style>
  <w:style w:type="table" w:styleId="Tabelacomgrade">
    <w:name w:val="Table Grid"/>
    <w:basedOn w:val="Tabelanormal"/>
    <w:uiPriority w:val="59"/>
    <w:rsid w:val="00F4489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epargpadro"/>
    <w:uiPriority w:val="99"/>
    <w:rsid w:val="000F5C63"/>
    <w:rPr>
      <w:color w:val="0000FF"/>
      <w:u w:val="single"/>
    </w:rPr>
  </w:style>
  <w:style w:type="paragraph" w:customStyle="1" w:styleId="Default">
    <w:name w:val="Default"/>
    <w:rsid w:val="00704DA6"/>
    <w:pPr>
      <w:autoSpaceDE w:val="0"/>
      <w:autoSpaceDN w:val="0"/>
      <w:adjustRightInd w:val="0"/>
      <w:spacing w:after="0" w:line="240" w:lineRule="auto"/>
    </w:pPr>
    <w:rPr>
      <w:rFonts w:ascii="Constantia" w:eastAsia="Times New Roman" w:hAnsi="Constantia" w:cs="Constantia"/>
      <w:color w:val="000000"/>
      <w:sz w:val="24"/>
      <w:szCs w:val="24"/>
    </w:rPr>
  </w:style>
  <w:style w:type="paragraph" w:styleId="Textodebalo">
    <w:name w:val="Balloon Text"/>
    <w:basedOn w:val="Normal"/>
    <w:link w:val="TextodebaloChar"/>
    <w:uiPriority w:val="99"/>
    <w:semiHidden/>
    <w:unhideWhenUsed/>
    <w:rsid w:val="004714B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714BB"/>
    <w:rPr>
      <w:rFonts w:ascii="Segoe UI" w:hAnsi="Segoe UI" w:cs="Segoe UI"/>
      <w:sz w:val="18"/>
      <w:szCs w:val="18"/>
    </w:rPr>
  </w:style>
  <w:style w:type="paragraph" w:styleId="Corpodetexto">
    <w:name w:val="Body Text"/>
    <w:basedOn w:val="Normal"/>
    <w:link w:val="CorpodetextoChar"/>
    <w:uiPriority w:val="99"/>
    <w:semiHidden/>
    <w:unhideWhenUsed/>
    <w:rsid w:val="00DD6B7F"/>
    <w:pPr>
      <w:spacing w:after="120"/>
    </w:pPr>
  </w:style>
  <w:style w:type="character" w:customStyle="1" w:styleId="CorpodetextoChar">
    <w:name w:val="Corpo de texto Char"/>
    <w:basedOn w:val="Fontepargpadro"/>
    <w:link w:val="Corpodetexto"/>
    <w:uiPriority w:val="99"/>
    <w:semiHidden/>
    <w:rsid w:val="00DD6B7F"/>
  </w:style>
  <w:style w:type="character" w:customStyle="1" w:styleId="TextodenotadefimChar">
    <w:name w:val="Texto de nota de fim Char"/>
    <w:basedOn w:val="Fontepargpadro"/>
    <w:link w:val="Textodenotadefim"/>
    <w:uiPriority w:val="99"/>
    <w:semiHidden/>
    <w:rsid w:val="00611C8B"/>
    <w:rPr>
      <w:rFonts w:eastAsiaTheme="minorHAnsi"/>
      <w:sz w:val="20"/>
      <w:szCs w:val="20"/>
      <w:lang w:eastAsia="en-US"/>
    </w:rPr>
  </w:style>
  <w:style w:type="paragraph" w:styleId="Textodenotadefim">
    <w:name w:val="endnote text"/>
    <w:basedOn w:val="Normal"/>
    <w:link w:val="TextodenotadefimChar"/>
    <w:uiPriority w:val="99"/>
    <w:semiHidden/>
    <w:unhideWhenUsed/>
    <w:rsid w:val="00611C8B"/>
    <w:pPr>
      <w:spacing w:after="0" w:line="240" w:lineRule="auto"/>
    </w:pPr>
    <w:rPr>
      <w:rFonts w:eastAsiaTheme="minorHAnsi"/>
      <w:sz w:val="20"/>
      <w:szCs w:val="20"/>
      <w:lang w:eastAsia="en-US"/>
    </w:rPr>
  </w:style>
  <w:style w:type="paragraph" w:styleId="Textodenotaderodap">
    <w:name w:val="footnote text"/>
    <w:basedOn w:val="Normal"/>
    <w:link w:val="TextodenotaderodapChar"/>
    <w:uiPriority w:val="99"/>
    <w:semiHidden/>
    <w:unhideWhenUsed/>
    <w:rsid w:val="00611C8B"/>
    <w:pPr>
      <w:spacing w:after="0" w:line="240" w:lineRule="auto"/>
    </w:pPr>
    <w:rPr>
      <w:rFonts w:eastAsiaTheme="minorHAnsi"/>
      <w:sz w:val="20"/>
      <w:szCs w:val="20"/>
      <w:lang w:eastAsia="en-US"/>
    </w:rPr>
  </w:style>
  <w:style w:type="character" w:customStyle="1" w:styleId="TextodenotaderodapChar">
    <w:name w:val="Texto de nota de rodapé Char"/>
    <w:basedOn w:val="Fontepargpadro"/>
    <w:link w:val="Textodenotaderodap"/>
    <w:uiPriority w:val="99"/>
    <w:semiHidden/>
    <w:rsid w:val="00611C8B"/>
    <w:rPr>
      <w:rFonts w:eastAsiaTheme="minorHAnsi"/>
      <w:sz w:val="20"/>
      <w:szCs w:val="20"/>
      <w:lang w:eastAsia="en-US"/>
    </w:rPr>
  </w:style>
  <w:style w:type="character" w:styleId="Refdenotaderodap">
    <w:name w:val="footnote reference"/>
    <w:basedOn w:val="Fontepargpadro"/>
    <w:uiPriority w:val="99"/>
    <w:semiHidden/>
    <w:unhideWhenUsed/>
    <w:rsid w:val="00611C8B"/>
    <w:rPr>
      <w:vertAlign w:val="superscript"/>
    </w:rPr>
  </w:style>
  <w:style w:type="paragraph" w:styleId="SemEspaamento">
    <w:name w:val="No Spacing"/>
    <w:uiPriority w:val="1"/>
    <w:qFormat/>
    <w:rsid w:val="00611C8B"/>
    <w:pPr>
      <w:spacing w:before="120" w:after="120" w:line="360" w:lineRule="auto"/>
      <w:jc w:val="both"/>
    </w:pPr>
    <w:rPr>
      <w:rFonts w:ascii="Calibri" w:eastAsiaTheme="minorHAnsi" w:hAnsi="Calibri"/>
      <w:szCs w:val="24"/>
      <w:lang w:eastAsia="en-US"/>
    </w:rPr>
  </w:style>
  <w:style w:type="paragraph" w:styleId="Cabealho">
    <w:name w:val="header"/>
    <w:basedOn w:val="Normal"/>
    <w:link w:val="Cabealho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CabealhoChar">
    <w:name w:val="Cabeçalho Char"/>
    <w:basedOn w:val="Fontepargpadro"/>
    <w:link w:val="Cabealho"/>
    <w:uiPriority w:val="99"/>
    <w:rsid w:val="00611C8B"/>
    <w:rPr>
      <w:rFonts w:eastAsiaTheme="minorHAnsi"/>
      <w:lang w:eastAsia="en-US"/>
    </w:rPr>
  </w:style>
  <w:style w:type="paragraph" w:styleId="Rodap">
    <w:name w:val="footer"/>
    <w:basedOn w:val="Normal"/>
    <w:link w:val="Rodap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RodapChar">
    <w:name w:val="Rodapé Char"/>
    <w:basedOn w:val="Fontepargpadro"/>
    <w:link w:val="Rodap"/>
    <w:uiPriority w:val="99"/>
    <w:rsid w:val="00611C8B"/>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916912">
      <w:bodyDiv w:val="1"/>
      <w:marLeft w:val="0"/>
      <w:marRight w:val="0"/>
      <w:marTop w:val="0"/>
      <w:marBottom w:val="0"/>
      <w:divBdr>
        <w:top w:val="none" w:sz="0" w:space="0" w:color="auto"/>
        <w:left w:val="none" w:sz="0" w:space="0" w:color="auto"/>
        <w:bottom w:val="none" w:sz="0" w:space="0" w:color="auto"/>
        <w:right w:val="none" w:sz="0" w:space="0" w:color="auto"/>
      </w:divBdr>
    </w:div>
    <w:div w:id="345442523">
      <w:bodyDiv w:val="1"/>
      <w:marLeft w:val="0"/>
      <w:marRight w:val="0"/>
      <w:marTop w:val="0"/>
      <w:marBottom w:val="0"/>
      <w:divBdr>
        <w:top w:val="none" w:sz="0" w:space="0" w:color="auto"/>
        <w:left w:val="none" w:sz="0" w:space="0" w:color="auto"/>
        <w:bottom w:val="none" w:sz="0" w:space="0" w:color="auto"/>
        <w:right w:val="none" w:sz="0" w:space="0" w:color="auto"/>
      </w:divBdr>
    </w:div>
    <w:div w:id="655956455">
      <w:bodyDiv w:val="1"/>
      <w:marLeft w:val="0"/>
      <w:marRight w:val="0"/>
      <w:marTop w:val="0"/>
      <w:marBottom w:val="0"/>
      <w:divBdr>
        <w:top w:val="none" w:sz="0" w:space="0" w:color="auto"/>
        <w:left w:val="none" w:sz="0" w:space="0" w:color="auto"/>
        <w:bottom w:val="none" w:sz="0" w:space="0" w:color="auto"/>
        <w:right w:val="none" w:sz="0" w:space="0" w:color="auto"/>
      </w:divBdr>
    </w:div>
    <w:div w:id="1599634126">
      <w:bodyDiv w:val="1"/>
      <w:marLeft w:val="0"/>
      <w:marRight w:val="0"/>
      <w:marTop w:val="0"/>
      <w:marBottom w:val="0"/>
      <w:divBdr>
        <w:top w:val="none" w:sz="0" w:space="0" w:color="auto"/>
        <w:left w:val="none" w:sz="0" w:space="0" w:color="auto"/>
        <w:bottom w:val="none" w:sz="0" w:space="0" w:color="auto"/>
        <w:right w:val="none" w:sz="0" w:space="0" w:color="auto"/>
      </w:divBdr>
    </w:div>
    <w:div w:id="1747724136">
      <w:bodyDiv w:val="1"/>
      <w:marLeft w:val="0"/>
      <w:marRight w:val="0"/>
      <w:marTop w:val="0"/>
      <w:marBottom w:val="0"/>
      <w:divBdr>
        <w:top w:val="none" w:sz="0" w:space="0" w:color="auto"/>
        <w:left w:val="none" w:sz="0" w:space="0" w:color="auto"/>
        <w:bottom w:val="none" w:sz="0" w:space="0" w:color="auto"/>
        <w:right w:val="none" w:sz="0" w:space="0" w:color="auto"/>
      </w:divBdr>
    </w:div>
    <w:div w:id="1973710162">
      <w:bodyDiv w:val="1"/>
      <w:marLeft w:val="0"/>
      <w:marRight w:val="0"/>
      <w:marTop w:val="0"/>
      <w:marBottom w:val="0"/>
      <w:divBdr>
        <w:top w:val="none" w:sz="0" w:space="0" w:color="auto"/>
        <w:left w:val="none" w:sz="0" w:space="0" w:color="auto"/>
        <w:bottom w:val="none" w:sz="0" w:space="0" w:color="auto"/>
        <w:right w:val="none" w:sz="0" w:space="0" w:color="auto"/>
      </w:divBdr>
    </w:div>
    <w:div w:id="2027094480">
      <w:bodyDiv w:val="1"/>
      <w:marLeft w:val="0"/>
      <w:marRight w:val="0"/>
      <w:marTop w:val="0"/>
      <w:marBottom w:val="0"/>
      <w:divBdr>
        <w:top w:val="none" w:sz="0" w:space="0" w:color="auto"/>
        <w:left w:val="none" w:sz="0" w:space="0" w:color="auto"/>
        <w:bottom w:val="none" w:sz="0" w:space="0" w:color="auto"/>
        <w:right w:val="none" w:sz="0" w:space="0" w:color="auto"/>
      </w:divBdr>
    </w:div>
    <w:div w:id="208105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695</TotalTime>
  <Pages>21</Pages>
  <Words>5440</Words>
  <Characters>29382</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Administrador</dc:creator>
  <cp:lastModifiedBy>Windows</cp:lastModifiedBy>
  <cp:revision>56</cp:revision>
  <cp:lastPrinted>2021-06-15T12:56:00Z</cp:lastPrinted>
  <dcterms:created xsi:type="dcterms:W3CDTF">2019-10-07T13:17:00Z</dcterms:created>
  <dcterms:modified xsi:type="dcterms:W3CDTF">2021-11-17T17:17:00Z</dcterms:modified>
</cp:coreProperties>
</file>