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2E2" w:rsidRDefault="00272A05" w:rsidP="00A27502">
      <w:pPr>
        <w:spacing w:after="0"/>
        <w:ind w:left="-284"/>
        <w:jc w:val="both"/>
        <w:rPr>
          <w:rFonts w:ascii="Arial" w:hAnsi="Arial" w:cs="Arial"/>
          <w:sz w:val="24"/>
          <w:szCs w:val="24"/>
        </w:rPr>
      </w:pPr>
      <w:r>
        <w:rPr>
          <w:rFonts w:ascii="Arial" w:hAnsi="Arial" w:cs="Arial"/>
          <w:sz w:val="24"/>
          <w:szCs w:val="24"/>
        </w:rPr>
        <w:t xml:space="preserve">         </w:t>
      </w:r>
      <w:r w:rsidR="006640A3" w:rsidRPr="00022F8F">
        <w:rPr>
          <w:rFonts w:ascii="Arial" w:hAnsi="Arial" w:cs="Arial"/>
          <w:sz w:val="24"/>
          <w:szCs w:val="24"/>
        </w:rPr>
        <w:t xml:space="preserve">         </w:t>
      </w:r>
    </w:p>
    <w:p w:rsidR="00F4489D" w:rsidRPr="00022F8F" w:rsidRDefault="00B20B3A" w:rsidP="00B822E2">
      <w:pPr>
        <w:spacing w:after="0"/>
        <w:jc w:val="center"/>
        <w:rPr>
          <w:rFonts w:ascii="Arial" w:hAnsi="Arial" w:cs="Arial"/>
          <w:b/>
          <w:sz w:val="24"/>
          <w:szCs w:val="24"/>
          <w:u w:val="single"/>
        </w:rPr>
      </w:pPr>
      <w:bookmarkStart w:id="0" w:name="_GoBack"/>
      <w:r w:rsidRPr="00022F8F">
        <w:rPr>
          <w:rFonts w:ascii="Arial" w:hAnsi="Arial" w:cs="Arial"/>
          <w:b/>
          <w:sz w:val="24"/>
          <w:szCs w:val="24"/>
          <w:u w:val="single"/>
        </w:rPr>
        <w:t>Ata da Reunião Ordinária</w:t>
      </w:r>
      <w:r w:rsidR="004714BB" w:rsidRPr="00022F8F">
        <w:rPr>
          <w:rFonts w:ascii="Arial" w:hAnsi="Arial" w:cs="Arial"/>
          <w:b/>
          <w:sz w:val="24"/>
          <w:szCs w:val="24"/>
          <w:u w:val="single"/>
        </w:rPr>
        <w:t xml:space="preserve"> do Comitê de Investimentos do </w:t>
      </w:r>
      <w:r w:rsidRPr="00022F8F">
        <w:rPr>
          <w:rFonts w:ascii="Arial" w:hAnsi="Arial" w:cs="Arial"/>
          <w:b/>
          <w:sz w:val="24"/>
          <w:szCs w:val="24"/>
          <w:u w:val="single"/>
        </w:rPr>
        <w:t>Muriaé-</w:t>
      </w:r>
      <w:proofErr w:type="spellStart"/>
      <w:r w:rsidRPr="00022F8F">
        <w:rPr>
          <w:rFonts w:ascii="Arial" w:hAnsi="Arial" w:cs="Arial"/>
          <w:b/>
          <w:sz w:val="24"/>
          <w:szCs w:val="24"/>
          <w:u w:val="single"/>
        </w:rPr>
        <w:t>Prev</w:t>
      </w:r>
      <w:proofErr w:type="spellEnd"/>
      <w:r w:rsidR="00DF23A8">
        <w:rPr>
          <w:rFonts w:ascii="Arial" w:hAnsi="Arial" w:cs="Arial"/>
          <w:b/>
          <w:sz w:val="24"/>
          <w:szCs w:val="24"/>
          <w:u w:val="single"/>
        </w:rPr>
        <w:t xml:space="preserve"> (</w:t>
      </w:r>
      <w:r w:rsidR="00562399">
        <w:rPr>
          <w:rFonts w:ascii="Arial" w:hAnsi="Arial" w:cs="Arial"/>
          <w:b/>
          <w:sz w:val="24"/>
          <w:szCs w:val="24"/>
          <w:u w:val="single"/>
        </w:rPr>
        <w:t>18</w:t>
      </w:r>
      <w:r w:rsidR="00820392">
        <w:rPr>
          <w:rFonts w:ascii="Arial" w:hAnsi="Arial" w:cs="Arial"/>
          <w:b/>
          <w:sz w:val="24"/>
          <w:szCs w:val="24"/>
          <w:u w:val="single"/>
        </w:rPr>
        <w:t>/</w:t>
      </w:r>
      <w:r w:rsidR="00562399">
        <w:rPr>
          <w:rFonts w:ascii="Arial" w:hAnsi="Arial" w:cs="Arial"/>
          <w:b/>
          <w:sz w:val="24"/>
          <w:szCs w:val="24"/>
          <w:u w:val="single"/>
        </w:rPr>
        <w:t>01</w:t>
      </w:r>
      <w:r w:rsidR="00CE6A38">
        <w:rPr>
          <w:rFonts w:ascii="Arial" w:hAnsi="Arial" w:cs="Arial"/>
          <w:b/>
          <w:sz w:val="24"/>
          <w:szCs w:val="24"/>
          <w:u w:val="single"/>
        </w:rPr>
        <w:t>/20</w:t>
      </w:r>
      <w:r w:rsidR="00562399">
        <w:rPr>
          <w:rFonts w:ascii="Arial" w:hAnsi="Arial" w:cs="Arial"/>
          <w:b/>
          <w:sz w:val="24"/>
          <w:szCs w:val="24"/>
          <w:u w:val="single"/>
        </w:rPr>
        <w:t>22</w:t>
      </w:r>
      <w:r w:rsidRPr="00022F8F">
        <w:rPr>
          <w:rFonts w:ascii="Arial" w:hAnsi="Arial" w:cs="Arial"/>
          <w:b/>
          <w:sz w:val="24"/>
          <w:szCs w:val="24"/>
          <w:u w:val="single"/>
        </w:rPr>
        <w:t>)</w:t>
      </w:r>
      <w:r w:rsidR="00060984">
        <w:rPr>
          <w:rFonts w:ascii="Arial" w:hAnsi="Arial" w:cs="Arial"/>
          <w:b/>
          <w:sz w:val="24"/>
          <w:szCs w:val="24"/>
          <w:u w:val="single"/>
        </w:rPr>
        <w:t>.</w:t>
      </w:r>
    </w:p>
    <w:p w:rsidR="008854AC" w:rsidRPr="00611C8B" w:rsidRDefault="00FF542F" w:rsidP="00D17BF0">
      <w:pPr>
        <w:autoSpaceDE w:val="0"/>
        <w:autoSpaceDN w:val="0"/>
        <w:adjustRightInd w:val="0"/>
        <w:spacing w:after="0" w:line="240" w:lineRule="auto"/>
        <w:jc w:val="both"/>
        <w:rPr>
          <w:rFonts w:ascii="Bookman Old Style" w:hAnsi="Bookman Old Style" w:cs="BookmanOldStyle"/>
          <w:sz w:val="24"/>
          <w:szCs w:val="24"/>
        </w:rPr>
      </w:pPr>
      <w:r w:rsidRPr="00441FA5">
        <w:rPr>
          <w:rFonts w:ascii="Bookman Old Style" w:hAnsi="Bookman Old Style" w:cs="Arial"/>
          <w:sz w:val="24"/>
          <w:szCs w:val="24"/>
        </w:rPr>
        <w:t>Ao</w:t>
      </w:r>
      <w:r w:rsidR="00E2294C">
        <w:rPr>
          <w:rFonts w:ascii="Bookman Old Style" w:hAnsi="Bookman Old Style" w:cs="Arial"/>
          <w:sz w:val="24"/>
          <w:szCs w:val="24"/>
        </w:rPr>
        <w:t xml:space="preserve">s </w:t>
      </w:r>
      <w:r w:rsidR="00562399">
        <w:rPr>
          <w:rFonts w:ascii="Bookman Old Style" w:hAnsi="Bookman Old Style" w:cs="Arial"/>
          <w:sz w:val="24"/>
          <w:szCs w:val="24"/>
        </w:rPr>
        <w:t>dezoito dias do mês de janeiro</w:t>
      </w:r>
      <w:r w:rsidR="00A73676" w:rsidRPr="00441FA5">
        <w:rPr>
          <w:rFonts w:ascii="Bookman Old Style" w:hAnsi="Bookman Old Style" w:cs="Arial"/>
          <w:sz w:val="24"/>
          <w:szCs w:val="24"/>
        </w:rPr>
        <w:t xml:space="preserve"> de 20</w:t>
      </w:r>
      <w:r w:rsidR="00562399">
        <w:rPr>
          <w:rFonts w:ascii="Bookman Old Style" w:hAnsi="Bookman Old Style" w:cs="Arial"/>
          <w:sz w:val="24"/>
          <w:szCs w:val="24"/>
        </w:rPr>
        <w:t>22</w:t>
      </w:r>
      <w:r w:rsidR="00E2294C">
        <w:rPr>
          <w:rFonts w:ascii="Bookman Old Style" w:hAnsi="Bookman Old Style" w:cs="Arial"/>
          <w:sz w:val="24"/>
          <w:szCs w:val="24"/>
        </w:rPr>
        <w:t>, às nove</w:t>
      </w:r>
      <w:r w:rsidR="00983C28" w:rsidRPr="00441FA5">
        <w:rPr>
          <w:rFonts w:ascii="Bookman Old Style" w:hAnsi="Bookman Old Style" w:cs="Arial"/>
          <w:sz w:val="24"/>
          <w:szCs w:val="24"/>
        </w:rPr>
        <w:t xml:space="preserve"> horas e zero minutos</w:t>
      </w:r>
      <w:r w:rsidR="00D17BF0">
        <w:rPr>
          <w:rFonts w:ascii="Bookman Old Style" w:hAnsi="Bookman Old Style" w:cs="Arial"/>
          <w:sz w:val="24"/>
          <w:szCs w:val="24"/>
        </w:rPr>
        <w:t xml:space="preserve">, </w:t>
      </w:r>
      <w:r w:rsidR="00B20B3A" w:rsidRPr="00441FA5">
        <w:rPr>
          <w:rFonts w:ascii="Bookman Old Style" w:hAnsi="Bookman Old Style" w:cs="Arial"/>
          <w:sz w:val="24"/>
          <w:szCs w:val="24"/>
        </w:rPr>
        <w:t xml:space="preserve">reuniram-se os membros </w:t>
      </w:r>
      <w:r w:rsidR="007B3FAD" w:rsidRPr="00441FA5">
        <w:rPr>
          <w:rFonts w:ascii="Bookman Old Style" w:hAnsi="Bookman Old Style" w:cs="Arial"/>
          <w:sz w:val="24"/>
          <w:szCs w:val="24"/>
        </w:rPr>
        <w:t>efetivos e suplentes do Comitê de I</w:t>
      </w:r>
      <w:r w:rsidR="00B20B3A" w:rsidRPr="00441FA5">
        <w:rPr>
          <w:rFonts w:ascii="Bookman Old Style" w:hAnsi="Bookman Old Style" w:cs="Arial"/>
          <w:sz w:val="24"/>
          <w:szCs w:val="24"/>
        </w:rPr>
        <w:t xml:space="preserve">nvestimentos. </w:t>
      </w:r>
      <w:r w:rsidR="00C11777">
        <w:rPr>
          <w:rFonts w:ascii="Bookman Old Style" w:hAnsi="Bookman Old Style" w:cs="Arial"/>
          <w:sz w:val="24"/>
          <w:szCs w:val="24"/>
        </w:rPr>
        <w:t>F</w:t>
      </w:r>
      <w:r w:rsidR="00C11777" w:rsidRPr="00C11777">
        <w:rPr>
          <w:rFonts w:ascii="Bookman Old Style" w:hAnsi="Bookman Old Style" w:cs="Arial"/>
          <w:sz w:val="24"/>
          <w:szCs w:val="24"/>
        </w:rPr>
        <w:t>oi verificado o quórum de participação nessa reunião</w:t>
      </w:r>
      <w:r w:rsidR="00B20B3A" w:rsidRPr="00C11777">
        <w:rPr>
          <w:rFonts w:ascii="Bookman Old Style" w:hAnsi="Bookman Old Style" w:cs="Arial"/>
          <w:sz w:val="24"/>
          <w:szCs w:val="24"/>
        </w:rPr>
        <w:t xml:space="preserve"> </w:t>
      </w:r>
      <w:r w:rsidR="00B20B3A" w:rsidRPr="00441FA5">
        <w:rPr>
          <w:rFonts w:ascii="Bookman Old Style" w:hAnsi="Bookman Old Style" w:cs="Arial"/>
          <w:sz w:val="24"/>
          <w:szCs w:val="24"/>
        </w:rPr>
        <w:t>dos membros:</w:t>
      </w:r>
      <w:bookmarkStart w:id="1" w:name="_Hlk25057824"/>
      <w:r w:rsidR="00517164" w:rsidRPr="00441FA5">
        <w:rPr>
          <w:rFonts w:ascii="Bookman Old Style" w:hAnsi="Bookman Old Style" w:cs="Arial"/>
          <w:sz w:val="24"/>
          <w:szCs w:val="24"/>
        </w:rPr>
        <w:t xml:space="preserve"> Alessandro Rodrigues Campos (membro nato)</w:t>
      </w:r>
      <w:r w:rsidR="00C11777">
        <w:rPr>
          <w:rFonts w:ascii="Bookman Old Style" w:hAnsi="Bookman Old Style" w:cs="Arial"/>
          <w:sz w:val="24"/>
          <w:szCs w:val="24"/>
        </w:rPr>
        <w:t xml:space="preserve"> - presente</w:t>
      </w:r>
      <w:r w:rsidR="00517164" w:rsidRPr="00441FA5">
        <w:rPr>
          <w:rFonts w:ascii="Bookman Old Style" w:hAnsi="Bookman Old Style" w:cs="Arial"/>
          <w:sz w:val="24"/>
          <w:szCs w:val="24"/>
        </w:rPr>
        <w:t>,</w:t>
      </w:r>
      <w:r w:rsidR="006F5F57" w:rsidRPr="00441FA5">
        <w:rPr>
          <w:rFonts w:ascii="Bookman Old Style" w:hAnsi="Bookman Old Style" w:cs="Arial"/>
          <w:sz w:val="24"/>
          <w:szCs w:val="24"/>
        </w:rPr>
        <w:t xml:space="preserve"> </w:t>
      </w:r>
      <w:proofErr w:type="spellStart"/>
      <w:r w:rsidR="006F5F57" w:rsidRPr="00441FA5">
        <w:rPr>
          <w:rFonts w:ascii="Bookman Old Style" w:hAnsi="Bookman Old Style" w:cs="Arial"/>
          <w:sz w:val="24"/>
          <w:szCs w:val="24"/>
        </w:rPr>
        <w:t>Stelamaris</w:t>
      </w:r>
      <w:proofErr w:type="spellEnd"/>
      <w:r w:rsidR="006F5F57" w:rsidRPr="00441FA5">
        <w:rPr>
          <w:rFonts w:ascii="Bookman Old Style" w:hAnsi="Bookman Old Style" w:cs="Arial"/>
          <w:sz w:val="24"/>
          <w:szCs w:val="24"/>
        </w:rPr>
        <w:t xml:space="preserve"> </w:t>
      </w:r>
      <w:proofErr w:type="spellStart"/>
      <w:r w:rsidR="006F5F57" w:rsidRPr="00441FA5">
        <w:rPr>
          <w:rFonts w:ascii="Bookman Old Style" w:hAnsi="Bookman Old Style" w:cs="Arial"/>
          <w:sz w:val="24"/>
          <w:szCs w:val="24"/>
        </w:rPr>
        <w:t>Schuenck</w:t>
      </w:r>
      <w:proofErr w:type="spellEnd"/>
      <w:r w:rsidR="006F5F57" w:rsidRPr="00441FA5">
        <w:rPr>
          <w:rFonts w:ascii="Bookman Old Style" w:hAnsi="Bookman Old Style" w:cs="Arial"/>
          <w:sz w:val="24"/>
          <w:szCs w:val="24"/>
        </w:rPr>
        <w:t xml:space="preserve"> Barbosa Resende (membro nato)</w:t>
      </w:r>
      <w:r w:rsidR="00C11777">
        <w:rPr>
          <w:rFonts w:ascii="Bookman Old Style" w:hAnsi="Bookman Old Style" w:cs="Arial"/>
          <w:sz w:val="24"/>
          <w:szCs w:val="24"/>
        </w:rPr>
        <w:t xml:space="preserve"> - presente</w:t>
      </w:r>
      <w:r w:rsidR="006F5F57" w:rsidRPr="00441FA5">
        <w:rPr>
          <w:rFonts w:ascii="Bookman Old Style" w:hAnsi="Bookman Old Style" w:cs="Arial"/>
          <w:sz w:val="24"/>
          <w:szCs w:val="24"/>
        </w:rPr>
        <w:t>,</w:t>
      </w:r>
      <w:r w:rsidR="00983694" w:rsidRPr="00441FA5">
        <w:rPr>
          <w:rFonts w:ascii="Bookman Old Style" w:hAnsi="Bookman Old Style" w:cs="Arial"/>
          <w:sz w:val="24"/>
          <w:szCs w:val="24"/>
        </w:rPr>
        <w:t xml:space="preserve"> Antônio José Pereira de Oliveira (membro efetivo)</w:t>
      </w:r>
      <w:r w:rsidR="00C11777">
        <w:rPr>
          <w:rFonts w:ascii="Bookman Old Style" w:hAnsi="Bookman Old Style" w:cs="Arial"/>
          <w:sz w:val="24"/>
          <w:szCs w:val="24"/>
        </w:rPr>
        <w:t xml:space="preserve"> - presente</w:t>
      </w:r>
      <w:r w:rsidR="006F5F57" w:rsidRPr="00441FA5">
        <w:rPr>
          <w:rFonts w:ascii="Bookman Old Style" w:hAnsi="Bookman Old Style" w:cs="Arial"/>
          <w:sz w:val="24"/>
          <w:szCs w:val="24"/>
        </w:rPr>
        <w:t xml:space="preserve">, </w:t>
      </w:r>
      <w:r w:rsidR="00517164" w:rsidRPr="00441FA5">
        <w:rPr>
          <w:rFonts w:ascii="Bookman Old Style" w:hAnsi="Bookman Old Style" w:cs="Arial"/>
          <w:sz w:val="24"/>
          <w:szCs w:val="24"/>
        </w:rPr>
        <w:t xml:space="preserve">Víctor </w:t>
      </w:r>
      <w:proofErr w:type="spellStart"/>
      <w:r w:rsidR="00517164" w:rsidRPr="00441FA5">
        <w:rPr>
          <w:rFonts w:ascii="Bookman Old Style" w:hAnsi="Bookman Old Style" w:cs="Arial"/>
          <w:sz w:val="24"/>
          <w:szCs w:val="24"/>
        </w:rPr>
        <w:t>Cavalari</w:t>
      </w:r>
      <w:proofErr w:type="spellEnd"/>
      <w:r w:rsidR="00517164" w:rsidRPr="00441FA5">
        <w:rPr>
          <w:rFonts w:ascii="Bookman Old Style" w:hAnsi="Bookman Old Style" w:cs="Arial"/>
          <w:sz w:val="24"/>
          <w:szCs w:val="24"/>
        </w:rPr>
        <w:t xml:space="preserve"> Vieira Oliveira (membro efetiv</w:t>
      </w:r>
      <w:r w:rsidR="00BD4F5E" w:rsidRPr="00441FA5">
        <w:rPr>
          <w:rFonts w:ascii="Bookman Old Style" w:hAnsi="Bookman Old Style" w:cs="Arial"/>
          <w:sz w:val="24"/>
          <w:szCs w:val="24"/>
        </w:rPr>
        <w:t>o</w:t>
      </w:r>
      <w:r w:rsidR="00080BC0" w:rsidRPr="00441FA5">
        <w:rPr>
          <w:rFonts w:ascii="Bookman Old Style" w:hAnsi="Bookman Old Style" w:cs="Arial"/>
          <w:sz w:val="24"/>
          <w:szCs w:val="24"/>
        </w:rPr>
        <w:t>)</w:t>
      </w:r>
      <w:r w:rsidR="00C11777">
        <w:rPr>
          <w:rFonts w:ascii="Bookman Old Style" w:hAnsi="Bookman Old Style" w:cs="Arial"/>
          <w:sz w:val="24"/>
          <w:szCs w:val="24"/>
        </w:rPr>
        <w:t xml:space="preserve"> - presente</w:t>
      </w:r>
      <w:r w:rsidR="00BD4F5E" w:rsidRPr="00441FA5">
        <w:rPr>
          <w:rFonts w:ascii="Bookman Old Style" w:hAnsi="Bookman Old Style" w:cs="Arial"/>
          <w:sz w:val="24"/>
          <w:szCs w:val="24"/>
        </w:rPr>
        <w:t xml:space="preserve">, </w:t>
      </w:r>
      <w:r w:rsidR="006F5F57" w:rsidRPr="00441FA5">
        <w:rPr>
          <w:rFonts w:ascii="Bookman Old Style" w:hAnsi="Bookman Old Style" w:cs="Arial"/>
          <w:sz w:val="24"/>
          <w:szCs w:val="24"/>
        </w:rPr>
        <w:t>Pedro Alves Vieira Júnior</w:t>
      </w:r>
      <w:r w:rsidR="00983694" w:rsidRPr="00441FA5">
        <w:rPr>
          <w:rFonts w:ascii="Bookman Old Style" w:hAnsi="Bookman Old Style" w:cs="Arial"/>
          <w:sz w:val="24"/>
          <w:szCs w:val="24"/>
        </w:rPr>
        <w:t xml:space="preserve"> (membro efetivo)</w:t>
      </w:r>
      <w:r w:rsidR="00C11777">
        <w:rPr>
          <w:rFonts w:ascii="Bookman Old Style" w:hAnsi="Bookman Old Style" w:cs="Arial"/>
          <w:sz w:val="24"/>
          <w:szCs w:val="24"/>
        </w:rPr>
        <w:t xml:space="preserve"> - </w:t>
      </w:r>
      <w:r w:rsidR="00562399">
        <w:rPr>
          <w:rFonts w:ascii="Bookman Old Style" w:hAnsi="Bookman Old Style" w:cs="Arial"/>
          <w:sz w:val="24"/>
          <w:szCs w:val="24"/>
        </w:rPr>
        <w:t>ausente</w:t>
      </w:r>
      <w:r w:rsidR="008B14D3" w:rsidRPr="00441FA5">
        <w:rPr>
          <w:rFonts w:ascii="Bookman Old Style" w:hAnsi="Bookman Old Style" w:cs="Arial"/>
          <w:sz w:val="24"/>
          <w:szCs w:val="24"/>
        </w:rPr>
        <w:t>,</w:t>
      </w:r>
      <w:r w:rsidR="00EF6C61" w:rsidRPr="00441FA5">
        <w:rPr>
          <w:rFonts w:ascii="Bookman Old Style" w:hAnsi="Bookman Old Style" w:cs="Arial"/>
          <w:sz w:val="24"/>
          <w:szCs w:val="24"/>
        </w:rPr>
        <w:t xml:space="preserve"> </w:t>
      </w:r>
      <w:bookmarkEnd w:id="1"/>
      <w:r w:rsidR="006F5F57" w:rsidRPr="00441FA5">
        <w:rPr>
          <w:rFonts w:ascii="Bookman Old Style" w:hAnsi="Bookman Old Style" w:cs="Arial"/>
          <w:sz w:val="24"/>
          <w:szCs w:val="24"/>
        </w:rPr>
        <w:t>Gilmar L</w:t>
      </w:r>
      <w:r w:rsidR="00EF6C61" w:rsidRPr="00441FA5">
        <w:rPr>
          <w:rFonts w:ascii="Bookman Old Style" w:hAnsi="Bookman Old Style" w:cs="Arial"/>
          <w:sz w:val="24"/>
          <w:szCs w:val="24"/>
        </w:rPr>
        <w:t>o</w:t>
      </w:r>
      <w:r w:rsidR="00441FA5" w:rsidRPr="00441FA5">
        <w:rPr>
          <w:rFonts w:ascii="Bookman Old Style" w:hAnsi="Bookman Old Style" w:cs="Arial"/>
          <w:sz w:val="24"/>
          <w:szCs w:val="24"/>
        </w:rPr>
        <w:t>pes de Faria (membro suplente)</w:t>
      </w:r>
      <w:r w:rsidR="00C11777">
        <w:rPr>
          <w:rFonts w:ascii="Bookman Old Style" w:hAnsi="Bookman Old Style" w:cs="Arial"/>
          <w:sz w:val="24"/>
          <w:szCs w:val="24"/>
        </w:rPr>
        <w:t xml:space="preserve"> – ausente, </w:t>
      </w:r>
      <w:r w:rsidR="00983694" w:rsidRPr="00441FA5">
        <w:rPr>
          <w:rFonts w:ascii="Bookman Old Style" w:hAnsi="Bookman Old Style" w:cs="Arial"/>
          <w:sz w:val="24"/>
          <w:szCs w:val="24"/>
        </w:rPr>
        <w:t>Renata Ramos de Lacerda (membro suplente)</w:t>
      </w:r>
      <w:r w:rsidR="007760C0">
        <w:rPr>
          <w:rFonts w:ascii="Bookman Old Style" w:hAnsi="Bookman Old Style" w:cs="Arial"/>
          <w:sz w:val="24"/>
          <w:szCs w:val="24"/>
        </w:rPr>
        <w:t xml:space="preserve"> - ausente</w:t>
      </w:r>
      <w:r w:rsidR="00697BA3" w:rsidRPr="00441FA5">
        <w:rPr>
          <w:rFonts w:ascii="Bookman Old Style" w:hAnsi="Bookman Old Style" w:cs="Arial"/>
          <w:sz w:val="24"/>
          <w:szCs w:val="24"/>
        </w:rPr>
        <w:t xml:space="preserve">. </w:t>
      </w:r>
      <w:r w:rsidR="00E438E3" w:rsidRPr="00441FA5">
        <w:rPr>
          <w:rFonts w:ascii="Bookman Old Style" w:hAnsi="Bookman Old Style" w:cs="Arial"/>
          <w:sz w:val="24"/>
          <w:szCs w:val="24"/>
        </w:rPr>
        <w:t>Foram h</w:t>
      </w:r>
      <w:r w:rsidR="001A0AFE" w:rsidRPr="00441FA5">
        <w:rPr>
          <w:rFonts w:ascii="Bookman Old Style" w:hAnsi="Bookman Old Style" w:cs="Arial"/>
          <w:sz w:val="24"/>
          <w:szCs w:val="24"/>
        </w:rPr>
        <w:t xml:space="preserve">abilitados para voto: </w:t>
      </w:r>
      <w:r w:rsidR="006F5F57" w:rsidRPr="00441FA5">
        <w:rPr>
          <w:rFonts w:ascii="Bookman Old Style" w:hAnsi="Bookman Old Style" w:cs="Arial"/>
          <w:sz w:val="24"/>
          <w:szCs w:val="24"/>
        </w:rPr>
        <w:t xml:space="preserve">Alessandro Rodrigues Campos (membro nato), </w:t>
      </w:r>
      <w:proofErr w:type="spellStart"/>
      <w:r w:rsidR="006F5F57" w:rsidRPr="00441FA5">
        <w:rPr>
          <w:rFonts w:ascii="Bookman Old Style" w:hAnsi="Bookman Old Style" w:cs="Arial"/>
          <w:sz w:val="24"/>
          <w:szCs w:val="24"/>
        </w:rPr>
        <w:t>Stelamaris</w:t>
      </w:r>
      <w:proofErr w:type="spellEnd"/>
      <w:r w:rsidR="006F5F57" w:rsidRPr="00441FA5">
        <w:rPr>
          <w:rFonts w:ascii="Bookman Old Style" w:hAnsi="Bookman Old Style" w:cs="Arial"/>
          <w:sz w:val="24"/>
          <w:szCs w:val="24"/>
        </w:rPr>
        <w:t xml:space="preserve"> </w:t>
      </w:r>
      <w:proofErr w:type="spellStart"/>
      <w:r w:rsidR="006F5F57" w:rsidRPr="00441FA5">
        <w:rPr>
          <w:rFonts w:ascii="Bookman Old Style" w:hAnsi="Bookman Old Style" w:cs="Arial"/>
          <w:sz w:val="24"/>
          <w:szCs w:val="24"/>
        </w:rPr>
        <w:t>Schuenck</w:t>
      </w:r>
      <w:proofErr w:type="spellEnd"/>
      <w:r w:rsidR="006F5F57" w:rsidRPr="00441FA5">
        <w:rPr>
          <w:rFonts w:ascii="Bookman Old Style" w:hAnsi="Bookman Old Style" w:cs="Arial"/>
          <w:sz w:val="24"/>
          <w:szCs w:val="24"/>
        </w:rPr>
        <w:t xml:space="preserve"> Barbosa Resende (membro nato), Antônio José Perei</w:t>
      </w:r>
      <w:r w:rsidR="00562399">
        <w:rPr>
          <w:rFonts w:ascii="Bookman Old Style" w:hAnsi="Bookman Old Style" w:cs="Arial"/>
          <w:sz w:val="24"/>
          <w:szCs w:val="24"/>
        </w:rPr>
        <w:t>ra de Oliveira (membro efetivo) e</w:t>
      </w:r>
      <w:r w:rsidR="006F5F57" w:rsidRPr="00441FA5">
        <w:rPr>
          <w:rFonts w:ascii="Bookman Old Style" w:hAnsi="Bookman Old Style" w:cs="Arial"/>
          <w:sz w:val="24"/>
          <w:szCs w:val="24"/>
        </w:rPr>
        <w:t xml:space="preserve"> Víctor </w:t>
      </w:r>
      <w:proofErr w:type="spellStart"/>
      <w:r w:rsidR="006F5F57" w:rsidRPr="00441FA5">
        <w:rPr>
          <w:rFonts w:ascii="Bookman Old Style" w:hAnsi="Bookman Old Style" w:cs="Arial"/>
          <w:sz w:val="24"/>
          <w:szCs w:val="24"/>
        </w:rPr>
        <w:t>Cavalari</w:t>
      </w:r>
      <w:proofErr w:type="spellEnd"/>
      <w:r w:rsidR="006F5F57" w:rsidRPr="00441FA5">
        <w:rPr>
          <w:rFonts w:ascii="Bookman Old Style" w:hAnsi="Bookman Old Style" w:cs="Arial"/>
          <w:sz w:val="24"/>
          <w:szCs w:val="24"/>
        </w:rPr>
        <w:t xml:space="preserve"> Vieira Oliveira (membro efetivo)</w:t>
      </w:r>
      <w:r w:rsidR="001A0AFE" w:rsidRPr="00441FA5">
        <w:rPr>
          <w:rFonts w:ascii="Bookman Old Style" w:hAnsi="Bookman Old Style" w:cs="Arial"/>
          <w:sz w:val="24"/>
          <w:szCs w:val="24"/>
        </w:rPr>
        <w:t xml:space="preserve">. </w:t>
      </w:r>
      <w:r w:rsidR="00B20B3A" w:rsidRPr="00441FA5">
        <w:rPr>
          <w:rFonts w:ascii="Bookman Old Style" w:hAnsi="Bookman Old Style" w:cs="Arial"/>
          <w:sz w:val="24"/>
          <w:szCs w:val="24"/>
        </w:rPr>
        <w:t>Após a verificação de quórum com a maioria dos membros</w:t>
      </w:r>
      <w:r w:rsidR="00DD6B7F" w:rsidRPr="00441FA5">
        <w:rPr>
          <w:rFonts w:ascii="Bookman Old Style" w:hAnsi="Bookman Old Style" w:cs="Arial"/>
          <w:sz w:val="24"/>
          <w:szCs w:val="24"/>
        </w:rPr>
        <w:t xml:space="preserve"> e aprovação por unanimidade dos votos presentes</w:t>
      </w:r>
      <w:r w:rsidR="00B20B3A" w:rsidRPr="00441FA5">
        <w:rPr>
          <w:rFonts w:ascii="Bookman Old Style" w:hAnsi="Bookman Old Style" w:cs="Arial"/>
          <w:sz w:val="24"/>
          <w:szCs w:val="24"/>
        </w:rPr>
        <w:t>,</w:t>
      </w:r>
      <w:r w:rsidR="00333333" w:rsidRPr="00441FA5">
        <w:rPr>
          <w:rFonts w:ascii="Bookman Old Style" w:hAnsi="Bookman Old Style" w:cs="Arial"/>
          <w:sz w:val="24"/>
          <w:szCs w:val="24"/>
        </w:rPr>
        <w:t xml:space="preserve"> f</w:t>
      </w:r>
      <w:r w:rsidR="00B20B3A" w:rsidRPr="00441FA5">
        <w:rPr>
          <w:rFonts w:ascii="Bookman Old Style" w:hAnsi="Bookman Old Style" w:cs="Arial"/>
          <w:sz w:val="24"/>
          <w:szCs w:val="24"/>
        </w:rPr>
        <w:t xml:space="preserve">oi instalada a sessão pelo </w:t>
      </w:r>
      <w:r w:rsidR="007B3FAD" w:rsidRPr="00441FA5">
        <w:rPr>
          <w:rFonts w:ascii="Bookman Old Style" w:hAnsi="Bookman Old Style" w:cs="Arial"/>
          <w:sz w:val="24"/>
          <w:szCs w:val="24"/>
        </w:rPr>
        <w:t>Sr. Pre</w:t>
      </w:r>
      <w:r w:rsidR="00F66EB8" w:rsidRPr="00441FA5">
        <w:rPr>
          <w:rFonts w:ascii="Bookman Old Style" w:hAnsi="Bookman Old Style" w:cs="Arial"/>
          <w:sz w:val="24"/>
          <w:szCs w:val="24"/>
        </w:rPr>
        <w:t>sidente do</w:t>
      </w:r>
      <w:r w:rsidR="00504042" w:rsidRPr="00441FA5">
        <w:rPr>
          <w:rFonts w:ascii="Bookman Old Style" w:hAnsi="Bookman Old Style" w:cs="Arial"/>
          <w:sz w:val="24"/>
          <w:szCs w:val="24"/>
        </w:rPr>
        <w:t xml:space="preserve"> Comitê de Investimentos do</w:t>
      </w:r>
      <w:r w:rsidR="00F66EB8" w:rsidRPr="00441FA5">
        <w:rPr>
          <w:rFonts w:ascii="Bookman Old Style" w:hAnsi="Bookman Old Style" w:cs="Arial"/>
          <w:sz w:val="24"/>
          <w:szCs w:val="24"/>
        </w:rPr>
        <w:t xml:space="preserve"> </w:t>
      </w:r>
      <w:r w:rsidR="00267177" w:rsidRPr="00441FA5">
        <w:rPr>
          <w:rFonts w:ascii="Bookman Old Style" w:hAnsi="Bookman Old Style" w:cs="Arial"/>
          <w:sz w:val="24"/>
          <w:szCs w:val="24"/>
        </w:rPr>
        <w:t>Muriaé-</w:t>
      </w:r>
      <w:proofErr w:type="spellStart"/>
      <w:r w:rsidR="00267177" w:rsidRPr="00441FA5">
        <w:rPr>
          <w:rFonts w:ascii="Bookman Old Style" w:hAnsi="Bookman Old Style" w:cs="Arial"/>
          <w:sz w:val="24"/>
          <w:szCs w:val="24"/>
        </w:rPr>
        <w:t>Prev</w:t>
      </w:r>
      <w:proofErr w:type="spellEnd"/>
      <w:r w:rsidR="00267177" w:rsidRPr="00441FA5">
        <w:rPr>
          <w:rFonts w:ascii="Bookman Old Style" w:hAnsi="Bookman Old Style" w:cs="Arial"/>
          <w:sz w:val="24"/>
          <w:szCs w:val="24"/>
        </w:rPr>
        <w:t xml:space="preserve"> </w:t>
      </w:r>
      <w:r w:rsidR="00504042" w:rsidRPr="00441FA5">
        <w:rPr>
          <w:rFonts w:ascii="Bookman Old Style" w:hAnsi="Bookman Old Style" w:cs="Arial"/>
          <w:sz w:val="24"/>
          <w:szCs w:val="24"/>
        </w:rPr>
        <w:t xml:space="preserve">que </w:t>
      </w:r>
      <w:r w:rsidR="00D17915" w:rsidRPr="00441FA5">
        <w:rPr>
          <w:rFonts w:ascii="Bookman Old Style" w:hAnsi="Bookman Old Style" w:cs="Arial"/>
          <w:sz w:val="24"/>
          <w:szCs w:val="24"/>
        </w:rPr>
        <w:t>apresentou aos membros</w:t>
      </w:r>
      <w:r w:rsidR="00B20B3A" w:rsidRPr="00441FA5">
        <w:rPr>
          <w:rFonts w:ascii="Bookman Old Style" w:hAnsi="Bookman Old Style" w:cs="Arial"/>
          <w:sz w:val="24"/>
          <w:szCs w:val="24"/>
        </w:rPr>
        <w:t xml:space="preserve"> a posição e leitura sobre o cenário econômico atual n</w:t>
      </w:r>
      <w:r w:rsidR="007B3FAD" w:rsidRPr="00441FA5">
        <w:rPr>
          <w:rFonts w:ascii="Bookman Old Style" w:hAnsi="Bookman Old Style" w:cs="Arial"/>
          <w:sz w:val="24"/>
          <w:szCs w:val="24"/>
        </w:rPr>
        <w:t xml:space="preserve">a visão do consultor </w:t>
      </w:r>
      <w:r w:rsidR="00EC7B06" w:rsidRPr="00441FA5">
        <w:rPr>
          <w:rFonts w:ascii="Bookman Old Style" w:hAnsi="Bookman Old Style" w:cs="Arial"/>
          <w:sz w:val="24"/>
          <w:szCs w:val="24"/>
        </w:rPr>
        <w:t>financeiro em investimentos</w:t>
      </w:r>
      <w:r w:rsidR="00F9407C" w:rsidRPr="00441FA5">
        <w:rPr>
          <w:rFonts w:ascii="Bookman Old Style" w:hAnsi="Bookman Old Style" w:cs="Arial"/>
          <w:sz w:val="24"/>
          <w:szCs w:val="24"/>
        </w:rPr>
        <w:t xml:space="preserve"> do Muriaé-</w:t>
      </w:r>
      <w:proofErr w:type="spellStart"/>
      <w:r w:rsidR="00F9407C" w:rsidRPr="00441FA5">
        <w:rPr>
          <w:rFonts w:ascii="Bookman Old Style" w:hAnsi="Bookman Old Style" w:cs="Arial"/>
          <w:sz w:val="24"/>
          <w:szCs w:val="24"/>
        </w:rPr>
        <w:t>Prev</w:t>
      </w:r>
      <w:proofErr w:type="spellEnd"/>
      <w:r w:rsidR="00F9407C" w:rsidRPr="00441FA5">
        <w:rPr>
          <w:rFonts w:ascii="Bookman Old Style" w:hAnsi="Bookman Old Style" w:cs="Arial"/>
          <w:sz w:val="24"/>
          <w:szCs w:val="24"/>
        </w:rPr>
        <w:t>,</w:t>
      </w:r>
      <w:r w:rsidR="007B3FAD" w:rsidRPr="00441FA5">
        <w:rPr>
          <w:rFonts w:ascii="Bookman Old Style" w:hAnsi="Bookman Old Style" w:cs="Arial"/>
          <w:sz w:val="24"/>
          <w:szCs w:val="24"/>
        </w:rPr>
        <w:t xml:space="preserve"> S</w:t>
      </w:r>
      <w:r w:rsidR="00B20B3A" w:rsidRPr="00441FA5">
        <w:rPr>
          <w:rFonts w:ascii="Bookman Old Style" w:hAnsi="Bookman Old Style" w:cs="Arial"/>
          <w:sz w:val="24"/>
          <w:szCs w:val="24"/>
        </w:rPr>
        <w:t>r. Paulo</w:t>
      </w:r>
      <w:r w:rsidR="00EC7B06" w:rsidRPr="00441FA5">
        <w:rPr>
          <w:rFonts w:ascii="Bookman Old Style" w:hAnsi="Bookman Old Style" w:cs="Arial"/>
          <w:sz w:val="24"/>
          <w:szCs w:val="24"/>
        </w:rPr>
        <w:t xml:space="preserve"> </w:t>
      </w:r>
      <w:proofErr w:type="spellStart"/>
      <w:r w:rsidR="00EC7B06" w:rsidRPr="00441FA5">
        <w:rPr>
          <w:rFonts w:ascii="Bookman Old Style" w:hAnsi="Bookman Old Style" w:cs="Arial"/>
          <w:sz w:val="24"/>
          <w:szCs w:val="24"/>
        </w:rPr>
        <w:t>di</w:t>
      </w:r>
      <w:proofErr w:type="spellEnd"/>
      <w:r w:rsidR="00EC7B06" w:rsidRPr="00441FA5">
        <w:rPr>
          <w:rFonts w:ascii="Bookman Old Style" w:hAnsi="Bookman Old Style" w:cs="Arial"/>
          <w:sz w:val="24"/>
          <w:szCs w:val="24"/>
        </w:rPr>
        <w:t xml:space="preserve"> </w:t>
      </w:r>
      <w:proofErr w:type="spellStart"/>
      <w:r w:rsidR="00EC7B06" w:rsidRPr="00441FA5">
        <w:rPr>
          <w:rFonts w:ascii="Bookman Old Style" w:hAnsi="Bookman Old Style" w:cs="Arial"/>
          <w:sz w:val="24"/>
          <w:szCs w:val="24"/>
        </w:rPr>
        <w:t>Blasi</w:t>
      </w:r>
      <w:proofErr w:type="spellEnd"/>
      <w:r w:rsidR="003A5D4E" w:rsidRPr="00441FA5">
        <w:rPr>
          <w:rFonts w:ascii="Bookman Old Style" w:hAnsi="Bookman Old Style" w:cs="Arial"/>
          <w:sz w:val="24"/>
          <w:szCs w:val="24"/>
        </w:rPr>
        <w:t xml:space="preserve">, </w:t>
      </w:r>
      <w:r w:rsidR="00477EE9" w:rsidRPr="00441FA5">
        <w:rPr>
          <w:rFonts w:ascii="Bookman Old Style" w:hAnsi="Bookman Old Style" w:cs="Arial"/>
          <w:sz w:val="24"/>
          <w:szCs w:val="24"/>
        </w:rPr>
        <w:t>q</w:t>
      </w:r>
      <w:r w:rsidR="002F7403" w:rsidRPr="00441FA5">
        <w:rPr>
          <w:rFonts w:ascii="Bookman Old Style" w:hAnsi="Bookman Old Style" w:cs="Arial"/>
          <w:sz w:val="24"/>
          <w:szCs w:val="24"/>
        </w:rPr>
        <w:t>ue</w:t>
      </w:r>
      <w:r w:rsidR="00AE20D6" w:rsidRPr="00441FA5">
        <w:rPr>
          <w:rFonts w:ascii="Bookman Old Style" w:hAnsi="Bookman Old Style" w:cs="Arial"/>
          <w:sz w:val="24"/>
          <w:szCs w:val="24"/>
        </w:rPr>
        <w:t xml:space="preserve"> </w:t>
      </w:r>
      <w:r w:rsidR="00EA744B" w:rsidRPr="00441FA5">
        <w:rPr>
          <w:rFonts w:ascii="Bookman Old Style" w:hAnsi="Bookman Old Style" w:cs="Arial"/>
          <w:sz w:val="24"/>
          <w:szCs w:val="24"/>
        </w:rPr>
        <w:t>r</w:t>
      </w:r>
      <w:r w:rsidR="00562399">
        <w:rPr>
          <w:rFonts w:ascii="Bookman Old Style" w:hAnsi="Bookman Old Style" w:cs="Arial"/>
          <w:sz w:val="24"/>
          <w:szCs w:val="24"/>
        </w:rPr>
        <w:t>ecomenda para o mês de janeiro</w:t>
      </w:r>
      <w:r w:rsidR="00517164" w:rsidRPr="00441FA5">
        <w:rPr>
          <w:rFonts w:ascii="Bookman Old Style" w:hAnsi="Bookman Old Style" w:cs="Arial"/>
          <w:sz w:val="24"/>
          <w:szCs w:val="24"/>
        </w:rPr>
        <w:t xml:space="preserve"> de 2021</w:t>
      </w:r>
      <w:r w:rsidR="00795FC5" w:rsidRPr="00441FA5">
        <w:rPr>
          <w:rFonts w:ascii="Bookman Old Style" w:hAnsi="Bookman Old Style" w:cs="Arial"/>
          <w:sz w:val="24"/>
          <w:szCs w:val="24"/>
        </w:rPr>
        <w:t>,</w:t>
      </w:r>
      <w:r w:rsidR="00EF5C45" w:rsidRPr="00441FA5">
        <w:rPr>
          <w:rFonts w:ascii="Bookman Old Style" w:hAnsi="Bookman Old Style" w:cs="Arial"/>
          <w:sz w:val="24"/>
          <w:szCs w:val="24"/>
        </w:rPr>
        <w:t xml:space="preserve"> </w:t>
      </w:r>
      <w:r w:rsidR="00BD4F5E" w:rsidRPr="00441FA5">
        <w:rPr>
          <w:rFonts w:ascii="Bookman Old Style" w:hAnsi="Bookman Old Style" w:cs="Arial"/>
          <w:sz w:val="24"/>
          <w:szCs w:val="24"/>
        </w:rPr>
        <w:t xml:space="preserve"> </w:t>
      </w:r>
      <w:r w:rsidR="008B14D3" w:rsidRPr="00441FA5">
        <w:rPr>
          <w:rFonts w:ascii="Bookman Old Style" w:hAnsi="Bookman Old Style" w:cs="Arial"/>
          <w:sz w:val="24"/>
          <w:szCs w:val="24"/>
        </w:rPr>
        <w:t xml:space="preserve">a </w:t>
      </w:r>
      <w:r w:rsidR="00441FA5" w:rsidRPr="00441FA5">
        <w:rPr>
          <w:rFonts w:ascii="Bookman Old Style" w:hAnsi="Bookman Old Style" w:cs="Arial"/>
          <w:sz w:val="24"/>
          <w:szCs w:val="24"/>
        </w:rPr>
        <w:t xml:space="preserve">manutenção da </w:t>
      </w:r>
      <w:r w:rsidR="00697BA3" w:rsidRPr="00441FA5">
        <w:rPr>
          <w:rFonts w:ascii="Bookman Old Style" w:hAnsi="Bookman Old Style" w:cs="Arial"/>
          <w:sz w:val="24"/>
          <w:szCs w:val="24"/>
        </w:rPr>
        <w:t>calibragem</w:t>
      </w:r>
      <w:r w:rsidR="008B14D3" w:rsidRPr="00441FA5">
        <w:rPr>
          <w:rFonts w:ascii="Bookman Old Style" w:hAnsi="Bookman Old Style" w:cs="Arial"/>
          <w:sz w:val="24"/>
          <w:szCs w:val="24"/>
        </w:rPr>
        <w:t xml:space="preserve"> da </w:t>
      </w:r>
      <w:r w:rsidR="00EF5C45" w:rsidRPr="00441FA5">
        <w:rPr>
          <w:rFonts w:ascii="Bookman Old Style" w:hAnsi="Bookman Old Style" w:cs="Arial"/>
          <w:sz w:val="24"/>
          <w:szCs w:val="24"/>
        </w:rPr>
        <w:t>carteira do Muriaé-</w:t>
      </w:r>
      <w:proofErr w:type="spellStart"/>
      <w:r w:rsidR="00EF5C45" w:rsidRPr="00441FA5">
        <w:rPr>
          <w:rFonts w:ascii="Bookman Old Style" w:hAnsi="Bookman Old Style" w:cs="Arial"/>
          <w:sz w:val="24"/>
          <w:szCs w:val="24"/>
        </w:rPr>
        <w:t>Prev</w:t>
      </w:r>
      <w:proofErr w:type="spellEnd"/>
      <w:r w:rsidR="00BD4F5E" w:rsidRPr="00441FA5">
        <w:rPr>
          <w:rFonts w:ascii="Bookman Old Style" w:hAnsi="Bookman Old Style" w:cs="Arial"/>
          <w:sz w:val="24"/>
          <w:szCs w:val="24"/>
        </w:rPr>
        <w:t xml:space="preserve"> </w:t>
      </w:r>
      <w:r w:rsidR="00441FA5" w:rsidRPr="00441FA5">
        <w:rPr>
          <w:rFonts w:ascii="Bookman Old Style" w:hAnsi="Bookman Old Style" w:cs="Arial"/>
          <w:sz w:val="24"/>
          <w:szCs w:val="24"/>
        </w:rPr>
        <w:t>priorizando</w:t>
      </w:r>
      <w:r w:rsidR="00080BC0" w:rsidRPr="00441FA5">
        <w:rPr>
          <w:rFonts w:ascii="Bookman Old Style" w:hAnsi="Bookman Old Style" w:cs="Arial"/>
          <w:sz w:val="24"/>
          <w:szCs w:val="24"/>
        </w:rPr>
        <w:t xml:space="preserve"> os fundos CDI,</w:t>
      </w:r>
      <w:r w:rsidR="00562399">
        <w:rPr>
          <w:rFonts w:ascii="Bookman Old Style" w:hAnsi="Bookman Old Style" w:cs="Arial"/>
          <w:sz w:val="24"/>
          <w:szCs w:val="24"/>
        </w:rPr>
        <w:t xml:space="preserve"> sobretudo considerando o ciclo de alta da SELIC promovido nas últimas reuniões do COPOM, e novo limite (60%) estabelecido na Resolução CMN 4.963/2021,</w:t>
      </w:r>
      <w:r w:rsidR="00080BC0" w:rsidRPr="00441FA5">
        <w:rPr>
          <w:rFonts w:ascii="Bookman Old Style" w:hAnsi="Bookman Old Style" w:cs="Arial"/>
          <w:sz w:val="24"/>
          <w:szCs w:val="24"/>
        </w:rPr>
        <w:t xml:space="preserve"> </w:t>
      </w:r>
      <w:r w:rsidR="00983694" w:rsidRPr="00441FA5">
        <w:rPr>
          <w:rFonts w:ascii="Bookman Old Style" w:hAnsi="Bookman Old Style" w:cs="Arial"/>
          <w:sz w:val="24"/>
          <w:szCs w:val="24"/>
        </w:rPr>
        <w:t>IRFM-1, IMA-B 5 e IDKA2</w:t>
      </w:r>
      <w:r w:rsidR="0032248B" w:rsidRPr="00441FA5">
        <w:rPr>
          <w:rFonts w:ascii="Bookman Old Style" w:eastAsia="Times New Roman" w:hAnsi="Bookman Old Style" w:cs="Arial"/>
          <w:color w:val="000000"/>
          <w:sz w:val="24"/>
          <w:szCs w:val="24"/>
        </w:rPr>
        <w:t>.</w:t>
      </w:r>
      <w:r w:rsidR="000E7977" w:rsidRPr="00441FA5">
        <w:rPr>
          <w:rFonts w:ascii="Bookman Old Style" w:eastAsia="Times New Roman" w:hAnsi="Bookman Old Style" w:cs="Arial"/>
          <w:color w:val="000000"/>
          <w:sz w:val="24"/>
          <w:szCs w:val="24"/>
        </w:rPr>
        <w:t xml:space="preserve"> </w:t>
      </w:r>
      <w:r w:rsidR="003972F3" w:rsidRPr="00441FA5">
        <w:rPr>
          <w:rFonts w:ascii="Bookman Old Style" w:eastAsia="Times New Roman" w:hAnsi="Bookman Old Style" w:cs="Arial"/>
          <w:color w:val="000000"/>
          <w:sz w:val="24"/>
          <w:szCs w:val="24"/>
        </w:rPr>
        <w:t xml:space="preserve">Segundo o </w:t>
      </w:r>
      <w:r w:rsidR="00360225" w:rsidRPr="00441FA5">
        <w:rPr>
          <w:rFonts w:ascii="Bookman Old Style" w:eastAsia="Times New Roman" w:hAnsi="Bookman Old Style" w:cs="Arial"/>
          <w:color w:val="000000"/>
          <w:sz w:val="24"/>
          <w:szCs w:val="24"/>
        </w:rPr>
        <w:t>consultor em investimentos</w:t>
      </w:r>
      <w:r w:rsidR="004B088E" w:rsidRPr="00441FA5">
        <w:rPr>
          <w:rFonts w:ascii="Bookman Old Style" w:eastAsia="Times New Roman" w:hAnsi="Bookman Old Style" w:cs="Arial"/>
          <w:color w:val="000000"/>
          <w:sz w:val="24"/>
          <w:szCs w:val="24"/>
        </w:rPr>
        <w:t>,</w:t>
      </w:r>
      <w:r w:rsidR="000A3245">
        <w:rPr>
          <w:rFonts w:ascii="Bookman Old Style" w:eastAsia="Times New Roman" w:hAnsi="Bookman Old Style" w:cs="Arial"/>
          <w:color w:val="000000"/>
          <w:sz w:val="24"/>
          <w:szCs w:val="24"/>
        </w:rPr>
        <w:t xml:space="preserve"> </w:t>
      </w:r>
      <w:r w:rsidR="00562399">
        <w:rPr>
          <w:rFonts w:ascii="Bookman Old Style" w:eastAsia="Times New Roman" w:hAnsi="Bookman Old Style" w:cs="Arial"/>
          <w:color w:val="000000"/>
          <w:sz w:val="24"/>
          <w:szCs w:val="24"/>
        </w:rPr>
        <w:t xml:space="preserve">em dezembro de 2021, </w:t>
      </w:r>
      <w:r w:rsidR="00562399" w:rsidRPr="00562399">
        <w:rPr>
          <w:rFonts w:ascii="Bookman Old Style" w:eastAsia="Times New Roman" w:hAnsi="Bookman Old Style" w:cs="Arial"/>
          <w:color w:val="000000"/>
          <w:sz w:val="24"/>
          <w:szCs w:val="24"/>
        </w:rPr>
        <w:t>Depois de cinco meses de queda consecutiva, o mercado de renda variável fechou dezembro com ganho, enquanto que o mercado de renda fixa continuou sua recuperaç</w:t>
      </w:r>
      <w:r w:rsidR="00905B50">
        <w:rPr>
          <w:rFonts w:ascii="Bookman Old Style" w:eastAsia="Times New Roman" w:hAnsi="Bookman Old Style" w:cs="Arial"/>
          <w:color w:val="000000"/>
          <w:sz w:val="24"/>
          <w:szCs w:val="24"/>
        </w:rPr>
        <w:t>ão já iniciada em novembro. Em d</w:t>
      </w:r>
      <w:r w:rsidR="00562399" w:rsidRPr="00562399">
        <w:rPr>
          <w:rFonts w:ascii="Bookman Old Style" w:eastAsia="Times New Roman" w:hAnsi="Bookman Old Style" w:cs="Arial"/>
          <w:color w:val="000000"/>
          <w:sz w:val="24"/>
          <w:szCs w:val="24"/>
        </w:rPr>
        <w:t xml:space="preserve">ezembro, os títulos de renda fixa prefixada, representados pelo índice IRF-M, apresentaram rendimento de 1,89%, enquanto os títulos indexados à inflação, representados pelo índice IMA-B, apresentaram um rendimento de 0,79%. A bolsa brasileira, por sua vez, representada pelo índice IBX, apresentou rendimento de 3,14%. Já o CDI, um rendimento de 0,76%. No cenário externo, a Bolsa Americana, representada pelo índice S&amp;P 500 apresentou rendimento de 4,36% no mês, enquanto a moeda brasileira apreciou 0,85%, para o nível de R$ 5,58 por dólar norte americano. Em 2021, os resultados foram os seguintes: para as classes de ativos de maior risco no segmento externo, a Bolsa Americana apresentou rendimento de 26.89%. Os títulos de renda fixa prefixada apresentaram rendimento de -1,99%, enquanto os títulos indexados à inflação, rendimento de -1,26%. A bolsa brasileira, por sua vez, apresentou rendimento de -11,17%, comparada com o rendimento de 4,4% do CDI e uma depreciação de 7,26%, da moeda brasileira em relação ao Dólar. Com a expectativa de inflação fechando o ano de 2021 em 10,01%, o ciclo de alta da taxa SELIC deve ser mais </w:t>
      </w:r>
      <w:r w:rsidR="00626D18">
        <w:rPr>
          <w:rFonts w:ascii="Bookman Old Style" w:eastAsia="Times New Roman" w:hAnsi="Bookman Old Style" w:cs="Arial"/>
          <w:color w:val="000000"/>
          <w:sz w:val="24"/>
          <w:szCs w:val="24"/>
        </w:rPr>
        <w:t>0</w:t>
      </w:r>
      <w:r w:rsidR="00562399" w:rsidRPr="00562399">
        <w:rPr>
          <w:rFonts w:ascii="Bookman Old Style" w:eastAsia="Times New Roman" w:hAnsi="Bookman Old Style" w:cs="Arial"/>
          <w:color w:val="000000"/>
          <w:sz w:val="24"/>
          <w:szCs w:val="24"/>
        </w:rPr>
        <w:t>forte e duradouro, razão pela qual ativos vinculados a taxa de juro CDI voltaram para o radar dos investidores. Além disso, teremos adiante um novo ciclo eleitoral, com suas típicas incertezas e volatilidade, rumores de</w:t>
      </w:r>
      <w:r w:rsidR="00562399">
        <w:rPr>
          <w:rFonts w:ascii="Bookman Old Style" w:eastAsia="Times New Roman" w:hAnsi="Bookman Old Style" w:cs="Arial"/>
          <w:color w:val="000000"/>
          <w:sz w:val="24"/>
          <w:szCs w:val="24"/>
        </w:rPr>
        <w:t xml:space="preserve"> mercado e ruídos nas notícias.</w:t>
      </w:r>
      <w:r w:rsidR="00441FA5" w:rsidRPr="007760C0">
        <w:rPr>
          <w:rFonts w:ascii="Bookman Old Style" w:eastAsia="Times New Roman" w:hAnsi="Bookman Old Style" w:cs="Arial"/>
          <w:color w:val="000000"/>
          <w:sz w:val="24"/>
          <w:szCs w:val="24"/>
        </w:rPr>
        <w:t xml:space="preserve"> </w:t>
      </w:r>
      <w:r w:rsidR="00562399">
        <w:rPr>
          <w:rFonts w:ascii="Bookman Old Style" w:hAnsi="Bookman Old Style"/>
          <w:sz w:val="24"/>
          <w:szCs w:val="24"/>
        </w:rPr>
        <w:t>Em relação a dezembro</w:t>
      </w:r>
      <w:r w:rsidR="00E2294C" w:rsidRPr="00611C8B">
        <w:rPr>
          <w:rFonts w:ascii="Bookman Old Style" w:hAnsi="Bookman Old Style"/>
          <w:sz w:val="24"/>
          <w:szCs w:val="24"/>
        </w:rPr>
        <w:t xml:space="preserve"> de 2021, a rentabilidade da carteira de investimentos do Muriaé-</w:t>
      </w:r>
      <w:proofErr w:type="spellStart"/>
      <w:r w:rsidR="00E2294C" w:rsidRPr="00611C8B">
        <w:rPr>
          <w:rFonts w:ascii="Bookman Old Style" w:hAnsi="Bookman Old Style"/>
          <w:sz w:val="24"/>
          <w:szCs w:val="24"/>
        </w:rPr>
        <w:t>Prev</w:t>
      </w:r>
      <w:proofErr w:type="spellEnd"/>
      <w:r w:rsidR="00E2294C" w:rsidRPr="00611C8B">
        <w:rPr>
          <w:rFonts w:ascii="Bookman Old Style" w:hAnsi="Bookman Old Style"/>
          <w:sz w:val="24"/>
          <w:szCs w:val="24"/>
        </w:rPr>
        <w:t xml:space="preserve"> foi de </w:t>
      </w:r>
      <w:r w:rsidR="00562399">
        <w:rPr>
          <w:rFonts w:ascii="Bookman Old Style" w:hAnsi="Bookman Old Style"/>
          <w:sz w:val="24"/>
          <w:szCs w:val="24"/>
        </w:rPr>
        <w:t>0,7269</w:t>
      </w:r>
      <w:r w:rsidR="00D17BF0" w:rsidRPr="00611C8B">
        <w:rPr>
          <w:rFonts w:ascii="Bookman Old Style" w:hAnsi="Bookman Old Style"/>
          <w:sz w:val="24"/>
          <w:szCs w:val="24"/>
        </w:rPr>
        <w:t>%</w:t>
      </w:r>
      <w:r w:rsidR="00E2294C" w:rsidRPr="00611C8B">
        <w:rPr>
          <w:rFonts w:ascii="Bookman Old Style" w:hAnsi="Bookman Old Style"/>
          <w:sz w:val="24"/>
          <w:szCs w:val="24"/>
        </w:rPr>
        <w:t xml:space="preserve"> em face da meta atuarial de </w:t>
      </w:r>
      <w:r w:rsidR="00562399">
        <w:rPr>
          <w:rFonts w:ascii="Bookman Old Style" w:hAnsi="Bookman Old Style"/>
          <w:sz w:val="24"/>
          <w:szCs w:val="24"/>
        </w:rPr>
        <w:t>1,1780</w:t>
      </w:r>
      <w:r w:rsidR="002437D4">
        <w:rPr>
          <w:rFonts w:ascii="Bookman Old Style" w:hAnsi="Bookman Old Style"/>
          <w:sz w:val="24"/>
          <w:szCs w:val="24"/>
        </w:rPr>
        <w:t>%</w:t>
      </w:r>
      <w:r w:rsidR="00562399">
        <w:rPr>
          <w:rFonts w:ascii="Bookman Old Style" w:hAnsi="Bookman Old Style"/>
          <w:sz w:val="24"/>
          <w:szCs w:val="24"/>
        </w:rPr>
        <w:t>, o trimestre 4 de 2021 apresentou rentabilidade de 1,5877 em face da meta atuarial de 4,3380%, e o exercício de 2021 apresentou rentabilidade de 3,4132% em face da meta atuarial de 16,08%</w:t>
      </w:r>
      <w:r w:rsidR="00E2294C" w:rsidRPr="00611C8B">
        <w:rPr>
          <w:rFonts w:ascii="Bookman Old Style" w:hAnsi="Bookman Old Style"/>
          <w:sz w:val="24"/>
          <w:szCs w:val="24"/>
        </w:rPr>
        <w:t>.</w:t>
      </w:r>
      <w:r w:rsidR="00731635">
        <w:rPr>
          <w:rFonts w:ascii="Bookman Old Style" w:hAnsi="Bookman Old Style"/>
          <w:sz w:val="24"/>
          <w:szCs w:val="24"/>
        </w:rPr>
        <w:t xml:space="preserve"> </w:t>
      </w:r>
      <w:r w:rsidR="006C6C52" w:rsidRPr="00611C8B">
        <w:rPr>
          <w:rFonts w:ascii="Bookman Old Style" w:hAnsi="Bookman Old Style"/>
          <w:sz w:val="24"/>
          <w:szCs w:val="24"/>
        </w:rPr>
        <w:t>Ato contínuo,</w:t>
      </w:r>
      <w:r w:rsidR="006C6C52" w:rsidRPr="00611C8B">
        <w:rPr>
          <w:rFonts w:ascii="Bookman Old Style" w:hAnsi="Bookman Old Style"/>
          <w:b/>
          <w:sz w:val="24"/>
          <w:szCs w:val="24"/>
        </w:rPr>
        <w:t xml:space="preserve"> </w:t>
      </w:r>
      <w:r w:rsidR="006C6C52" w:rsidRPr="00611C8B">
        <w:rPr>
          <w:rFonts w:ascii="Bookman Old Style" w:hAnsi="Bookman Old Style" w:cs="Arial"/>
          <w:sz w:val="24"/>
          <w:szCs w:val="24"/>
        </w:rPr>
        <w:t>o</w:t>
      </w:r>
      <w:r w:rsidR="007703B6" w:rsidRPr="00611C8B">
        <w:rPr>
          <w:rFonts w:ascii="Bookman Old Style" w:hAnsi="Bookman Old Style" w:cs="Arial"/>
          <w:sz w:val="24"/>
          <w:szCs w:val="24"/>
        </w:rPr>
        <w:t xml:space="preserve"> </w:t>
      </w:r>
      <w:r w:rsidR="00515D17" w:rsidRPr="00611C8B">
        <w:rPr>
          <w:rFonts w:ascii="Bookman Old Style" w:hAnsi="Bookman Old Style" w:cs="Arial"/>
          <w:sz w:val="24"/>
          <w:szCs w:val="24"/>
        </w:rPr>
        <w:t>Presidente do C</w:t>
      </w:r>
      <w:r w:rsidR="00B20B3A" w:rsidRPr="00611C8B">
        <w:rPr>
          <w:rFonts w:ascii="Bookman Old Style" w:hAnsi="Bookman Old Style" w:cs="Arial"/>
          <w:sz w:val="24"/>
          <w:szCs w:val="24"/>
        </w:rPr>
        <w:t>omitê</w:t>
      </w:r>
      <w:r w:rsidR="00ED3719" w:rsidRPr="00611C8B">
        <w:rPr>
          <w:rFonts w:ascii="Bookman Old Style" w:hAnsi="Bookman Old Style" w:cs="Arial"/>
          <w:sz w:val="24"/>
          <w:szCs w:val="24"/>
        </w:rPr>
        <w:t xml:space="preserve"> procedeu</w:t>
      </w:r>
      <w:r w:rsidR="00594FAB" w:rsidRPr="00611C8B">
        <w:rPr>
          <w:rFonts w:ascii="Bookman Old Style" w:hAnsi="Bookman Old Style" w:cs="Arial"/>
          <w:sz w:val="24"/>
          <w:szCs w:val="24"/>
        </w:rPr>
        <w:t xml:space="preserve"> </w:t>
      </w:r>
      <w:r w:rsidR="00A81355" w:rsidRPr="00611C8B">
        <w:rPr>
          <w:rFonts w:ascii="Bookman Old Style" w:hAnsi="Bookman Old Style" w:cs="Arial"/>
          <w:sz w:val="24"/>
          <w:szCs w:val="24"/>
        </w:rPr>
        <w:t>a</w:t>
      </w:r>
      <w:r w:rsidR="00594FAB" w:rsidRPr="00611C8B">
        <w:rPr>
          <w:rFonts w:ascii="Bookman Old Style" w:hAnsi="Bookman Old Style" w:cs="Arial"/>
          <w:sz w:val="24"/>
          <w:szCs w:val="24"/>
        </w:rPr>
        <w:t xml:space="preserve"> abertura da etapa dos debates e indicações</w:t>
      </w:r>
      <w:r w:rsidR="006A59F9" w:rsidRPr="00611C8B">
        <w:rPr>
          <w:rFonts w:ascii="Bookman Old Style" w:hAnsi="Bookman Old Style" w:cs="Arial"/>
          <w:sz w:val="24"/>
          <w:szCs w:val="24"/>
        </w:rPr>
        <w:t xml:space="preserve">, apresentada com </w:t>
      </w:r>
      <w:r w:rsidR="00977A01" w:rsidRPr="00611C8B">
        <w:rPr>
          <w:rFonts w:ascii="Bookman Old Style" w:eastAsia="Times New Roman" w:hAnsi="Bookman Old Style" w:cs="Arial"/>
          <w:sz w:val="24"/>
          <w:szCs w:val="24"/>
        </w:rPr>
        <w:t>autoria de</w:t>
      </w:r>
      <w:r w:rsidR="00B77EBB" w:rsidRPr="00611C8B">
        <w:rPr>
          <w:rFonts w:ascii="Bookman Old Style" w:eastAsia="Times New Roman" w:hAnsi="Bookman Old Style" w:cs="Arial"/>
          <w:sz w:val="24"/>
          <w:szCs w:val="24"/>
        </w:rPr>
        <w:t xml:space="preserve"> </w:t>
      </w:r>
      <w:r w:rsidR="00562399">
        <w:rPr>
          <w:rFonts w:ascii="Bookman Old Style" w:eastAsia="Times New Roman" w:hAnsi="Bookman Old Style" w:cs="Arial"/>
          <w:sz w:val="24"/>
          <w:szCs w:val="24"/>
        </w:rPr>
        <w:t>Antônio José Pereira de Oliveira</w:t>
      </w:r>
      <w:r w:rsidR="00977A01" w:rsidRPr="00611C8B">
        <w:rPr>
          <w:rFonts w:ascii="Bookman Old Style" w:eastAsia="Times New Roman" w:hAnsi="Bookman Old Style" w:cs="Arial"/>
          <w:sz w:val="24"/>
          <w:szCs w:val="24"/>
        </w:rPr>
        <w:t>,</w:t>
      </w:r>
      <w:r w:rsidR="006A59F9" w:rsidRPr="00611C8B">
        <w:rPr>
          <w:rFonts w:ascii="Bookman Old Style" w:eastAsia="Times New Roman" w:hAnsi="Bookman Old Style" w:cs="Arial"/>
          <w:sz w:val="24"/>
          <w:szCs w:val="24"/>
        </w:rPr>
        <w:t xml:space="preserve"> a seguinte proposição</w:t>
      </w:r>
      <w:r w:rsidR="00977A01" w:rsidRPr="00611C8B">
        <w:rPr>
          <w:rFonts w:ascii="Bookman Old Style" w:eastAsia="Times New Roman" w:hAnsi="Bookman Old Style" w:cs="Arial"/>
          <w:sz w:val="24"/>
          <w:szCs w:val="24"/>
        </w:rPr>
        <w:t>:</w:t>
      </w:r>
    </w:p>
    <w:p w:rsidR="00611C8B" w:rsidRDefault="00611C8B" w:rsidP="00BE4BBE">
      <w:pPr>
        <w:numPr>
          <w:ilvl w:val="0"/>
          <w:numId w:val="1"/>
        </w:numPr>
        <w:spacing w:after="0" w:line="240" w:lineRule="auto"/>
        <w:ind w:left="284" w:hanging="284"/>
        <w:jc w:val="both"/>
        <w:rPr>
          <w:rFonts w:ascii="Arial" w:hAnsi="Arial" w:cs="Arial"/>
          <w:b/>
          <w:sz w:val="24"/>
          <w:szCs w:val="24"/>
        </w:rPr>
      </w:pPr>
      <w:r w:rsidRPr="00441FA5">
        <w:rPr>
          <w:rFonts w:ascii="Arial" w:hAnsi="Arial" w:cs="Arial"/>
          <w:b/>
          <w:sz w:val="24"/>
          <w:szCs w:val="24"/>
        </w:rPr>
        <w:t>ALOCA</w:t>
      </w:r>
      <w:r>
        <w:rPr>
          <w:rFonts w:ascii="Arial" w:hAnsi="Arial" w:cs="Arial"/>
          <w:b/>
          <w:sz w:val="24"/>
          <w:szCs w:val="24"/>
        </w:rPr>
        <w:t>Ç</w:t>
      </w:r>
      <w:r w:rsidR="005B4F5A">
        <w:rPr>
          <w:rFonts w:ascii="Arial" w:hAnsi="Arial" w:cs="Arial"/>
          <w:b/>
          <w:sz w:val="24"/>
          <w:szCs w:val="24"/>
        </w:rPr>
        <w:t>ÃO DOS NOVOS APORTES DE JANEIRO DE 2022</w:t>
      </w:r>
      <w:r w:rsidRPr="00441FA5">
        <w:rPr>
          <w:rFonts w:ascii="Arial" w:hAnsi="Arial" w:cs="Arial"/>
          <w:b/>
          <w:sz w:val="24"/>
          <w:szCs w:val="24"/>
        </w:rPr>
        <w:t xml:space="preserve"> NO FUNDO DE INVESTIMENTOS CAIXA FI </w:t>
      </w:r>
      <w:r w:rsidR="00684C88">
        <w:rPr>
          <w:rFonts w:ascii="Arial" w:hAnsi="Arial" w:cs="Arial"/>
          <w:b/>
          <w:sz w:val="24"/>
          <w:szCs w:val="24"/>
        </w:rPr>
        <w:t>BRASIL REFERENCIADO DI</w:t>
      </w:r>
      <w:r w:rsidR="00905B50">
        <w:rPr>
          <w:rFonts w:ascii="Arial" w:hAnsi="Arial" w:cs="Arial"/>
          <w:b/>
          <w:sz w:val="24"/>
          <w:szCs w:val="24"/>
        </w:rPr>
        <w:t>;</w:t>
      </w:r>
    </w:p>
    <w:p w:rsidR="00C73263" w:rsidRPr="005B4F5A" w:rsidRDefault="005B4F5A" w:rsidP="005B4F5A">
      <w:pPr>
        <w:numPr>
          <w:ilvl w:val="0"/>
          <w:numId w:val="1"/>
        </w:numPr>
        <w:spacing w:after="0" w:line="240" w:lineRule="auto"/>
        <w:ind w:left="284" w:hanging="284"/>
        <w:jc w:val="both"/>
        <w:rPr>
          <w:rFonts w:ascii="Arial" w:eastAsia="Times New Roman" w:hAnsi="Arial" w:cs="Arial"/>
          <w:b/>
          <w:sz w:val="24"/>
          <w:szCs w:val="24"/>
        </w:rPr>
      </w:pPr>
      <w:r w:rsidRPr="005B4F5A">
        <w:rPr>
          <w:rFonts w:ascii="Arial" w:hAnsi="Arial" w:cs="Arial"/>
          <w:b/>
          <w:sz w:val="24"/>
          <w:szCs w:val="24"/>
        </w:rPr>
        <w:lastRenderedPageBreak/>
        <w:t>PROPOSIÇÃO DA NOVA POLÍTICA DE INVESTIMENTOS 2022 DO MURIAÉ-PREV</w:t>
      </w:r>
      <w:r>
        <w:rPr>
          <w:rFonts w:ascii="Arial" w:hAnsi="Arial" w:cs="Arial"/>
          <w:b/>
          <w:sz w:val="24"/>
          <w:szCs w:val="24"/>
        </w:rPr>
        <w:t xml:space="preserve"> ABAIXO DESCRITA,</w:t>
      </w:r>
      <w:r w:rsidRPr="005B4F5A">
        <w:rPr>
          <w:rFonts w:ascii="Arial" w:hAnsi="Arial" w:cs="Arial"/>
          <w:b/>
          <w:sz w:val="24"/>
          <w:szCs w:val="24"/>
        </w:rPr>
        <w:t xml:space="preserve"> </w:t>
      </w:r>
      <w:r w:rsidRPr="005B4F5A">
        <w:rPr>
          <w:rFonts w:ascii="Arial" w:hAnsi="Arial" w:cs="Arial"/>
          <w:b/>
          <w:bCs/>
          <w:sz w:val="24"/>
          <w:szCs w:val="24"/>
        </w:rPr>
        <w:t>CONFORME RESOLUÇÃO CMN 4.963 DE 25 DE NOVEMBRO DE 2021</w:t>
      </w:r>
      <w:r w:rsidR="00905B50">
        <w:rPr>
          <w:rFonts w:ascii="Arial" w:hAnsi="Arial" w:cs="Arial"/>
          <w:b/>
          <w:bCs/>
          <w:sz w:val="24"/>
          <w:szCs w:val="24"/>
        </w:rPr>
        <w:t>.</w:t>
      </w:r>
      <w:r w:rsidRPr="005B4F5A">
        <w:rPr>
          <w:rFonts w:ascii="Arial" w:hAnsi="Arial" w:cs="Arial"/>
          <w:b/>
          <w:bCs/>
          <w:sz w:val="24"/>
          <w:szCs w:val="24"/>
        </w:rPr>
        <w:t xml:space="preserve"> </w:t>
      </w:r>
      <w:r w:rsidR="00731635" w:rsidRPr="005B4F5A">
        <w:rPr>
          <w:rFonts w:ascii="Bookman Old Style" w:hAnsi="Bookman Old Style" w:cs="Arial"/>
          <w:sz w:val="24"/>
          <w:szCs w:val="24"/>
        </w:rPr>
        <w:t>Todas as</w:t>
      </w:r>
      <w:r w:rsidR="00977A01" w:rsidRPr="005B4F5A">
        <w:rPr>
          <w:rFonts w:ascii="Bookman Old Style" w:hAnsi="Bookman Old Style" w:cs="Arial"/>
          <w:sz w:val="24"/>
          <w:szCs w:val="24"/>
        </w:rPr>
        <w:t xml:space="preserve"> deliberações</w:t>
      </w:r>
      <w:r w:rsidR="005D32FA" w:rsidRPr="005B4F5A">
        <w:rPr>
          <w:rFonts w:ascii="Bookman Old Style" w:hAnsi="Bookman Old Style" w:cs="Arial"/>
          <w:sz w:val="24"/>
          <w:szCs w:val="24"/>
        </w:rPr>
        <w:t xml:space="preserve"> </w:t>
      </w:r>
      <w:r w:rsidR="003A06EB" w:rsidRPr="005B4F5A">
        <w:rPr>
          <w:rFonts w:ascii="Bookman Old Style" w:hAnsi="Bookman Old Style" w:cs="Arial"/>
          <w:sz w:val="24"/>
          <w:szCs w:val="24"/>
        </w:rPr>
        <w:t>propostas</w:t>
      </w:r>
      <w:r w:rsidR="00022F8F" w:rsidRPr="005B4F5A">
        <w:rPr>
          <w:rFonts w:ascii="Bookman Old Style" w:hAnsi="Bookman Old Style" w:cs="Arial"/>
          <w:sz w:val="24"/>
          <w:szCs w:val="24"/>
        </w:rPr>
        <w:t xml:space="preserve"> </w:t>
      </w:r>
      <w:r w:rsidR="00EE495D" w:rsidRPr="005B4F5A">
        <w:rPr>
          <w:rFonts w:ascii="Bookman Old Style" w:hAnsi="Bookman Old Style" w:cs="Arial"/>
          <w:sz w:val="24"/>
          <w:szCs w:val="24"/>
        </w:rPr>
        <w:t xml:space="preserve">foram </w:t>
      </w:r>
      <w:r w:rsidR="007636F5" w:rsidRPr="005B4F5A">
        <w:rPr>
          <w:rFonts w:ascii="Bookman Old Style" w:hAnsi="Bookman Old Style" w:cs="Arial"/>
          <w:sz w:val="24"/>
          <w:szCs w:val="24"/>
        </w:rPr>
        <w:t>aprovadas</w:t>
      </w:r>
      <w:r w:rsidR="00036527" w:rsidRPr="005B4F5A">
        <w:rPr>
          <w:rFonts w:ascii="Bookman Old Style" w:hAnsi="Bookman Old Style" w:cs="Arial"/>
          <w:sz w:val="24"/>
          <w:szCs w:val="24"/>
        </w:rPr>
        <w:t xml:space="preserve"> </w:t>
      </w:r>
      <w:r w:rsidR="005F1656" w:rsidRPr="005B4F5A">
        <w:rPr>
          <w:rFonts w:ascii="Bookman Old Style" w:hAnsi="Bookman Old Style" w:cs="Arial"/>
          <w:sz w:val="24"/>
          <w:szCs w:val="24"/>
        </w:rPr>
        <w:t xml:space="preserve">pela unanimidade </w:t>
      </w:r>
      <w:r w:rsidR="00BA1E3A" w:rsidRPr="005B4F5A">
        <w:rPr>
          <w:rFonts w:ascii="Bookman Old Style" w:hAnsi="Bookman Old Style" w:cs="Arial"/>
          <w:sz w:val="24"/>
          <w:szCs w:val="24"/>
        </w:rPr>
        <w:t>dos votos</w:t>
      </w:r>
      <w:r w:rsidR="00EE495D" w:rsidRPr="005B4F5A">
        <w:rPr>
          <w:rFonts w:ascii="Bookman Old Style" w:hAnsi="Bookman Old Style" w:cs="Arial"/>
          <w:sz w:val="24"/>
          <w:szCs w:val="24"/>
        </w:rPr>
        <w:t xml:space="preserve"> presentes</w:t>
      </w:r>
      <w:r w:rsidR="00BA1E3A" w:rsidRPr="005B4F5A">
        <w:rPr>
          <w:rFonts w:ascii="Bookman Old Style" w:hAnsi="Bookman Old Style" w:cs="Arial"/>
          <w:sz w:val="24"/>
          <w:szCs w:val="24"/>
        </w:rPr>
        <w:t xml:space="preserve"> e habilitados</w:t>
      </w:r>
      <w:r w:rsidR="00EE495D" w:rsidRPr="005B4F5A">
        <w:rPr>
          <w:rFonts w:ascii="Bookman Old Style" w:hAnsi="Bookman Old Style" w:cs="Arial"/>
          <w:sz w:val="24"/>
          <w:szCs w:val="24"/>
        </w:rPr>
        <w:t xml:space="preserve">. </w:t>
      </w:r>
      <w:r w:rsidR="00EF5C45" w:rsidRPr="005B4F5A">
        <w:rPr>
          <w:rFonts w:ascii="Bookman Old Style" w:hAnsi="Bookman Old Style" w:cs="Arial"/>
          <w:sz w:val="24"/>
          <w:szCs w:val="24"/>
        </w:rPr>
        <w:t>Concluída</w:t>
      </w:r>
      <w:r w:rsidR="00A81355" w:rsidRPr="005B4F5A">
        <w:rPr>
          <w:rFonts w:ascii="Bookman Old Style" w:hAnsi="Bookman Old Style" w:cs="Arial"/>
          <w:sz w:val="24"/>
          <w:szCs w:val="24"/>
        </w:rPr>
        <w:t xml:space="preserve"> a votação</w:t>
      </w:r>
      <w:r w:rsidR="00EE495D" w:rsidRPr="005B4F5A">
        <w:rPr>
          <w:rFonts w:ascii="Bookman Old Style" w:hAnsi="Bookman Old Style" w:cs="Arial"/>
          <w:sz w:val="24"/>
          <w:szCs w:val="24"/>
        </w:rPr>
        <w:t xml:space="preserve"> </w:t>
      </w:r>
      <w:r w:rsidR="00441FA5" w:rsidRPr="005B4F5A">
        <w:rPr>
          <w:rFonts w:ascii="Bookman Old Style" w:hAnsi="Bookman Old Style" w:cs="Arial"/>
          <w:sz w:val="24"/>
          <w:szCs w:val="24"/>
        </w:rPr>
        <w:t xml:space="preserve">acima. </w:t>
      </w:r>
      <w:r w:rsidR="00207F4E" w:rsidRPr="005B4F5A">
        <w:rPr>
          <w:rFonts w:ascii="Bookman Old Style" w:hAnsi="Bookman Old Style" w:cs="Arial"/>
          <w:sz w:val="24"/>
          <w:szCs w:val="24"/>
        </w:rPr>
        <w:t>E</w:t>
      </w:r>
      <w:r w:rsidR="00B20B3A" w:rsidRPr="005B4F5A">
        <w:rPr>
          <w:rFonts w:ascii="Bookman Old Style" w:hAnsi="Bookman Old Style" w:cs="Arial"/>
          <w:sz w:val="24"/>
          <w:szCs w:val="24"/>
        </w:rPr>
        <w:t>ncerrada a pauta dos trabalhos e nada mai</w:t>
      </w:r>
      <w:r w:rsidR="003A06EB" w:rsidRPr="005B4F5A">
        <w:rPr>
          <w:rFonts w:ascii="Bookman Old Style" w:hAnsi="Bookman Old Style" w:cs="Arial"/>
          <w:sz w:val="24"/>
          <w:szCs w:val="24"/>
        </w:rPr>
        <w:t>s havendo, o P</w:t>
      </w:r>
      <w:r w:rsidR="00207F4E" w:rsidRPr="005B4F5A">
        <w:rPr>
          <w:rFonts w:ascii="Bookman Old Style" w:hAnsi="Bookman Old Style" w:cs="Arial"/>
          <w:sz w:val="24"/>
          <w:szCs w:val="24"/>
        </w:rPr>
        <w:t xml:space="preserve">residente do </w:t>
      </w:r>
      <w:r w:rsidR="0015384C" w:rsidRPr="005B4F5A">
        <w:rPr>
          <w:rFonts w:ascii="Bookman Old Style" w:hAnsi="Bookman Old Style" w:cs="Arial"/>
          <w:sz w:val="24"/>
          <w:szCs w:val="24"/>
        </w:rPr>
        <w:t>Comitê de Investimentos do Muriaé-</w:t>
      </w:r>
      <w:proofErr w:type="spellStart"/>
      <w:r w:rsidR="0015384C" w:rsidRPr="005B4F5A">
        <w:rPr>
          <w:rFonts w:ascii="Bookman Old Style" w:hAnsi="Bookman Old Style" w:cs="Arial"/>
          <w:sz w:val="24"/>
          <w:szCs w:val="24"/>
        </w:rPr>
        <w:t>Prev</w:t>
      </w:r>
      <w:proofErr w:type="spellEnd"/>
      <w:r w:rsidR="0015384C" w:rsidRPr="005B4F5A">
        <w:rPr>
          <w:rFonts w:ascii="Bookman Old Style" w:hAnsi="Bookman Old Style" w:cs="Arial"/>
          <w:sz w:val="24"/>
          <w:szCs w:val="24"/>
        </w:rPr>
        <w:t xml:space="preserve"> </w:t>
      </w:r>
      <w:r w:rsidR="00B20B3A" w:rsidRPr="005B4F5A">
        <w:rPr>
          <w:rFonts w:ascii="Bookman Old Style" w:hAnsi="Bookman Old Style" w:cs="Arial"/>
          <w:sz w:val="24"/>
          <w:szCs w:val="24"/>
        </w:rPr>
        <w:t>agradeceu a presença de todos e declarou encerrada a</w:t>
      </w:r>
      <w:r w:rsidR="006C6C52" w:rsidRPr="005B4F5A">
        <w:rPr>
          <w:rFonts w:ascii="Bookman Old Style" w:hAnsi="Bookman Old Style" w:cs="Arial"/>
          <w:sz w:val="24"/>
          <w:szCs w:val="24"/>
        </w:rPr>
        <w:t xml:space="preserve"> r</w:t>
      </w:r>
      <w:r w:rsidR="00080BC0" w:rsidRPr="005B4F5A">
        <w:rPr>
          <w:rFonts w:ascii="Bookman Old Style" w:hAnsi="Bookman Old Style" w:cs="Arial"/>
          <w:sz w:val="24"/>
          <w:szCs w:val="24"/>
        </w:rPr>
        <w:t xml:space="preserve">eunião às </w:t>
      </w:r>
      <w:r w:rsidRPr="005B4F5A">
        <w:rPr>
          <w:rFonts w:ascii="Bookman Old Style" w:hAnsi="Bookman Old Style" w:cs="Arial"/>
          <w:sz w:val="24"/>
          <w:szCs w:val="24"/>
        </w:rPr>
        <w:t>10:35</w:t>
      </w:r>
      <w:r w:rsidR="005473B4" w:rsidRPr="005B4F5A">
        <w:rPr>
          <w:rFonts w:ascii="Bookman Old Style" w:hAnsi="Bookman Old Style" w:cs="Arial"/>
          <w:sz w:val="24"/>
          <w:szCs w:val="24"/>
        </w:rPr>
        <w:t xml:space="preserve"> h</w:t>
      </w:r>
      <w:r w:rsidR="00207F4E" w:rsidRPr="005B4F5A">
        <w:rPr>
          <w:rFonts w:ascii="Bookman Old Style" w:hAnsi="Bookman Old Style" w:cs="Arial"/>
          <w:sz w:val="24"/>
          <w:szCs w:val="24"/>
        </w:rPr>
        <w:t xml:space="preserve">, na qual </w:t>
      </w:r>
      <w:r w:rsidR="00B20B3A" w:rsidRPr="005B4F5A">
        <w:rPr>
          <w:rFonts w:ascii="Bookman Old Style" w:hAnsi="Bookman Old Style" w:cs="Arial"/>
          <w:sz w:val="24"/>
          <w:szCs w:val="24"/>
        </w:rPr>
        <w:t>vai assinada</w:t>
      </w:r>
      <w:r w:rsidR="00611C8B" w:rsidRPr="005B4F5A">
        <w:rPr>
          <w:rFonts w:ascii="Bookman Old Style" w:hAnsi="Bookman Old Style" w:cs="Arial"/>
          <w:sz w:val="24"/>
          <w:szCs w:val="24"/>
        </w:rPr>
        <w:t xml:space="preserve"> por mim, Nancy </w:t>
      </w:r>
      <w:proofErr w:type="spellStart"/>
      <w:r w:rsidR="00611C8B" w:rsidRPr="005B4F5A">
        <w:rPr>
          <w:rFonts w:ascii="Bookman Old Style" w:hAnsi="Bookman Old Style" w:cs="Arial"/>
          <w:sz w:val="24"/>
          <w:szCs w:val="24"/>
        </w:rPr>
        <w:t>Lieta</w:t>
      </w:r>
      <w:proofErr w:type="spellEnd"/>
      <w:r w:rsidR="00611C8B" w:rsidRPr="005B4F5A">
        <w:rPr>
          <w:rFonts w:ascii="Bookman Old Style" w:hAnsi="Bookman Old Style" w:cs="Arial"/>
          <w:sz w:val="24"/>
          <w:szCs w:val="24"/>
        </w:rPr>
        <w:t xml:space="preserve"> Lima e</w:t>
      </w:r>
      <w:r w:rsidR="00B20B3A" w:rsidRPr="005B4F5A">
        <w:rPr>
          <w:rFonts w:ascii="Bookman Old Style" w:hAnsi="Bookman Old Style" w:cs="Arial"/>
          <w:sz w:val="24"/>
          <w:szCs w:val="24"/>
        </w:rPr>
        <w:t xml:space="preserve"> pelos membros presentes à reunião.</w:t>
      </w:r>
    </w:p>
    <w:p w:rsidR="00441FA5" w:rsidRDefault="00441FA5" w:rsidP="00D17BF0">
      <w:pPr>
        <w:tabs>
          <w:tab w:val="left" w:pos="3990"/>
        </w:tabs>
        <w:spacing w:after="0" w:line="240" w:lineRule="auto"/>
        <w:jc w:val="both"/>
        <w:rPr>
          <w:rFonts w:ascii="Bookman Old Style" w:hAnsi="Bookman Old Style" w:cs="Arial"/>
          <w:sz w:val="24"/>
          <w:szCs w:val="24"/>
        </w:rPr>
      </w:pPr>
    </w:p>
    <w:p w:rsidR="00C73263" w:rsidRPr="00441FA5" w:rsidRDefault="00F87787" w:rsidP="00F87787">
      <w:pPr>
        <w:tabs>
          <w:tab w:val="left" w:pos="3990"/>
        </w:tabs>
        <w:spacing w:after="0" w:line="240" w:lineRule="auto"/>
        <w:jc w:val="both"/>
        <w:rPr>
          <w:rFonts w:ascii="Bookman Old Style" w:hAnsi="Bookman Old Style" w:cs="Arial"/>
          <w:sz w:val="24"/>
          <w:szCs w:val="24"/>
        </w:rPr>
      </w:pPr>
      <w:r w:rsidRPr="00441FA5">
        <w:rPr>
          <w:rFonts w:ascii="Bookman Old Style" w:hAnsi="Bookman Old Style" w:cs="Arial"/>
          <w:sz w:val="24"/>
          <w:szCs w:val="24"/>
        </w:rPr>
        <w:tab/>
        <w:t xml:space="preserve">  </w:t>
      </w:r>
    </w:p>
    <w:p w:rsidR="007760C0" w:rsidRDefault="00C73263" w:rsidP="00BD5DA9">
      <w:pPr>
        <w:spacing w:after="0" w:line="240" w:lineRule="auto"/>
        <w:jc w:val="both"/>
        <w:rPr>
          <w:rFonts w:ascii="Bookman Old Style" w:hAnsi="Bookman Old Style" w:cs="Arial"/>
          <w:sz w:val="24"/>
          <w:szCs w:val="24"/>
        </w:rPr>
      </w:pPr>
      <w:r w:rsidRPr="00441FA5">
        <w:rPr>
          <w:rFonts w:ascii="Bookman Old Style" w:hAnsi="Bookman Old Style" w:cs="Arial"/>
          <w:sz w:val="24"/>
          <w:szCs w:val="24"/>
        </w:rPr>
        <w:t>Alessandro Rodrigues Campos</w:t>
      </w:r>
      <w:r w:rsidR="006C6C52" w:rsidRPr="00441FA5">
        <w:rPr>
          <w:rFonts w:ascii="Bookman Old Style" w:hAnsi="Bookman Old Style" w:cs="Arial"/>
          <w:sz w:val="24"/>
          <w:szCs w:val="24"/>
        </w:rPr>
        <w:t xml:space="preserve">            </w:t>
      </w:r>
      <w:r w:rsidR="006F5F57" w:rsidRPr="00441FA5">
        <w:rPr>
          <w:rFonts w:ascii="Bookman Old Style" w:hAnsi="Bookman Old Style" w:cs="Arial"/>
          <w:sz w:val="24"/>
          <w:szCs w:val="24"/>
        </w:rPr>
        <w:t xml:space="preserve">            </w:t>
      </w:r>
    </w:p>
    <w:p w:rsidR="007760C0" w:rsidRDefault="007760C0" w:rsidP="00BD5DA9">
      <w:pPr>
        <w:spacing w:after="0" w:line="240" w:lineRule="auto"/>
        <w:jc w:val="both"/>
        <w:rPr>
          <w:rFonts w:ascii="Bookman Old Style" w:hAnsi="Bookman Old Style" w:cs="Arial"/>
          <w:sz w:val="24"/>
          <w:szCs w:val="24"/>
        </w:rPr>
      </w:pPr>
    </w:p>
    <w:p w:rsidR="007760C0" w:rsidRDefault="007760C0" w:rsidP="00BD5DA9">
      <w:pPr>
        <w:spacing w:after="0" w:line="240" w:lineRule="auto"/>
        <w:jc w:val="both"/>
        <w:rPr>
          <w:rFonts w:ascii="Bookman Old Style" w:hAnsi="Bookman Old Style" w:cs="Arial"/>
          <w:sz w:val="24"/>
          <w:szCs w:val="24"/>
        </w:rPr>
      </w:pPr>
    </w:p>
    <w:p w:rsidR="00BD5DA9" w:rsidRPr="00441FA5" w:rsidRDefault="00BD5DA9" w:rsidP="00BD5DA9">
      <w:pPr>
        <w:spacing w:after="0" w:line="240" w:lineRule="auto"/>
        <w:jc w:val="both"/>
        <w:rPr>
          <w:rFonts w:ascii="Bookman Old Style" w:hAnsi="Bookman Old Style" w:cs="Arial"/>
          <w:sz w:val="24"/>
          <w:szCs w:val="24"/>
        </w:rPr>
      </w:pPr>
      <w:r w:rsidRPr="00441FA5">
        <w:rPr>
          <w:rFonts w:ascii="Bookman Old Style" w:hAnsi="Bookman Old Style" w:cs="Arial"/>
          <w:sz w:val="24"/>
          <w:szCs w:val="24"/>
        </w:rPr>
        <w:t>Antônio José Pereira de Oliveira</w:t>
      </w:r>
    </w:p>
    <w:p w:rsidR="00BD5DA9" w:rsidRDefault="00BD5DA9" w:rsidP="00BD5DA9">
      <w:pPr>
        <w:spacing w:after="0" w:line="240" w:lineRule="auto"/>
        <w:jc w:val="both"/>
        <w:rPr>
          <w:rFonts w:ascii="Bookman Old Style" w:hAnsi="Bookman Old Style" w:cs="Arial"/>
          <w:sz w:val="24"/>
          <w:szCs w:val="24"/>
        </w:rPr>
      </w:pPr>
    </w:p>
    <w:p w:rsidR="00374DA1" w:rsidRPr="00441FA5" w:rsidRDefault="00374DA1" w:rsidP="00BD5DA9">
      <w:pPr>
        <w:spacing w:after="0" w:line="240" w:lineRule="auto"/>
        <w:jc w:val="both"/>
        <w:rPr>
          <w:rFonts w:ascii="Bookman Old Style" w:hAnsi="Bookman Old Style" w:cs="Arial"/>
          <w:sz w:val="24"/>
          <w:szCs w:val="24"/>
        </w:rPr>
      </w:pPr>
    </w:p>
    <w:p w:rsidR="00374DA1" w:rsidRDefault="006F5F57" w:rsidP="003471CC">
      <w:pPr>
        <w:spacing w:after="0" w:line="240" w:lineRule="auto"/>
        <w:jc w:val="both"/>
        <w:rPr>
          <w:rFonts w:ascii="Bookman Old Style" w:hAnsi="Bookman Old Style" w:cs="Arial"/>
          <w:sz w:val="24"/>
          <w:szCs w:val="24"/>
        </w:rPr>
      </w:pPr>
      <w:proofErr w:type="spellStart"/>
      <w:r w:rsidRPr="00441FA5">
        <w:rPr>
          <w:rFonts w:ascii="Bookman Old Style" w:hAnsi="Bookman Old Style" w:cs="Arial"/>
          <w:sz w:val="24"/>
          <w:szCs w:val="24"/>
        </w:rPr>
        <w:t>Stelamaris</w:t>
      </w:r>
      <w:proofErr w:type="spellEnd"/>
      <w:r w:rsidRPr="00441FA5">
        <w:rPr>
          <w:rFonts w:ascii="Bookman Old Style" w:hAnsi="Bookman Old Style" w:cs="Arial"/>
          <w:sz w:val="24"/>
          <w:szCs w:val="24"/>
        </w:rPr>
        <w:t xml:space="preserve"> </w:t>
      </w:r>
      <w:proofErr w:type="spellStart"/>
      <w:r w:rsidRPr="00441FA5">
        <w:rPr>
          <w:rFonts w:ascii="Bookman Old Style" w:hAnsi="Bookman Old Style" w:cs="Arial"/>
          <w:sz w:val="24"/>
          <w:szCs w:val="24"/>
        </w:rPr>
        <w:t>Schuenck</w:t>
      </w:r>
      <w:proofErr w:type="spellEnd"/>
      <w:r w:rsidRPr="00441FA5">
        <w:rPr>
          <w:rFonts w:ascii="Bookman Old Style" w:hAnsi="Bookman Old Style" w:cs="Arial"/>
          <w:sz w:val="24"/>
          <w:szCs w:val="24"/>
        </w:rPr>
        <w:t xml:space="preserve"> Barbosa Resende</w:t>
      </w:r>
      <w:r w:rsidR="006C6C52" w:rsidRPr="00441FA5">
        <w:rPr>
          <w:rFonts w:ascii="Bookman Old Style" w:hAnsi="Bookman Old Style" w:cs="Arial"/>
          <w:sz w:val="24"/>
          <w:szCs w:val="24"/>
        </w:rPr>
        <w:t xml:space="preserve">     </w:t>
      </w:r>
      <w:r w:rsidR="007760C0">
        <w:rPr>
          <w:rFonts w:ascii="Bookman Old Style" w:hAnsi="Bookman Old Style" w:cs="Arial"/>
          <w:sz w:val="24"/>
          <w:szCs w:val="24"/>
        </w:rPr>
        <w:t xml:space="preserve">     </w:t>
      </w:r>
      <w:r w:rsidR="00D17BF0" w:rsidRPr="00441FA5">
        <w:rPr>
          <w:rFonts w:ascii="Bookman Old Style" w:hAnsi="Bookman Old Style" w:cs="Arial"/>
          <w:sz w:val="24"/>
          <w:szCs w:val="24"/>
        </w:rPr>
        <w:t xml:space="preserve"> </w:t>
      </w:r>
    </w:p>
    <w:p w:rsidR="00441FA5" w:rsidRPr="00441FA5" w:rsidRDefault="00441FA5" w:rsidP="003471CC">
      <w:pPr>
        <w:spacing w:after="0" w:line="240" w:lineRule="auto"/>
        <w:jc w:val="both"/>
        <w:rPr>
          <w:rFonts w:ascii="Bookman Old Style" w:hAnsi="Bookman Old Style" w:cs="Arial"/>
          <w:sz w:val="24"/>
          <w:szCs w:val="24"/>
        </w:rPr>
      </w:pPr>
    </w:p>
    <w:p w:rsidR="007760C0" w:rsidRDefault="007760C0" w:rsidP="006C6C52">
      <w:pPr>
        <w:spacing w:after="0" w:line="240" w:lineRule="auto"/>
        <w:jc w:val="both"/>
        <w:rPr>
          <w:rFonts w:ascii="Bookman Old Style" w:hAnsi="Bookman Old Style" w:cs="Arial"/>
          <w:sz w:val="24"/>
          <w:szCs w:val="24"/>
        </w:rPr>
      </w:pPr>
    </w:p>
    <w:p w:rsidR="007760C0" w:rsidRDefault="00BD5DA9" w:rsidP="006C6C52">
      <w:pPr>
        <w:spacing w:after="0" w:line="240" w:lineRule="auto"/>
        <w:jc w:val="both"/>
        <w:rPr>
          <w:rFonts w:ascii="Bookman Old Style" w:hAnsi="Bookman Old Style" w:cs="Arial"/>
          <w:sz w:val="24"/>
          <w:szCs w:val="24"/>
        </w:rPr>
      </w:pPr>
      <w:r w:rsidRPr="00441FA5">
        <w:rPr>
          <w:rFonts w:ascii="Bookman Old Style" w:hAnsi="Bookman Old Style" w:cs="Arial"/>
          <w:sz w:val="24"/>
          <w:szCs w:val="24"/>
        </w:rPr>
        <w:t xml:space="preserve">Víctor </w:t>
      </w:r>
      <w:proofErr w:type="spellStart"/>
      <w:r w:rsidRPr="00441FA5">
        <w:rPr>
          <w:rFonts w:ascii="Bookman Old Style" w:hAnsi="Bookman Old Style" w:cs="Arial"/>
          <w:sz w:val="24"/>
          <w:szCs w:val="24"/>
        </w:rPr>
        <w:t>Cavalari</w:t>
      </w:r>
      <w:proofErr w:type="spellEnd"/>
      <w:r w:rsidRPr="00441FA5">
        <w:rPr>
          <w:rFonts w:ascii="Bookman Old Style" w:hAnsi="Bookman Old Style" w:cs="Arial"/>
          <w:sz w:val="24"/>
          <w:szCs w:val="24"/>
        </w:rPr>
        <w:t xml:space="preserve"> Vieira Oliveira</w:t>
      </w:r>
      <w:r w:rsidR="006C6C52" w:rsidRPr="00441FA5">
        <w:rPr>
          <w:rFonts w:ascii="Bookman Old Style" w:hAnsi="Bookman Old Style" w:cs="Arial"/>
          <w:sz w:val="24"/>
          <w:szCs w:val="24"/>
        </w:rPr>
        <w:t xml:space="preserve">            </w:t>
      </w:r>
      <w:r w:rsidR="006F5F57" w:rsidRPr="00441FA5">
        <w:rPr>
          <w:rFonts w:ascii="Bookman Old Style" w:hAnsi="Bookman Old Style" w:cs="Arial"/>
          <w:sz w:val="24"/>
          <w:szCs w:val="24"/>
        </w:rPr>
        <w:t xml:space="preserve">            </w:t>
      </w:r>
      <w:r w:rsidR="00611C8B">
        <w:rPr>
          <w:rFonts w:ascii="Bookman Old Style" w:hAnsi="Bookman Old Style" w:cs="Arial"/>
          <w:sz w:val="24"/>
          <w:szCs w:val="24"/>
        </w:rPr>
        <w:t xml:space="preserve">   </w:t>
      </w:r>
    </w:p>
    <w:p w:rsidR="007760C0" w:rsidRDefault="007760C0" w:rsidP="006C6C52">
      <w:pPr>
        <w:spacing w:after="0" w:line="240" w:lineRule="auto"/>
        <w:jc w:val="both"/>
        <w:rPr>
          <w:rFonts w:ascii="Bookman Old Style" w:hAnsi="Bookman Old Style" w:cs="Arial"/>
          <w:sz w:val="24"/>
          <w:szCs w:val="24"/>
        </w:rPr>
      </w:pPr>
    </w:p>
    <w:p w:rsidR="007760C0" w:rsidRDefault="007760C0" w:rsidP="006C6C52">
      <w:pPr>
        <w:spacing w:after="0" w:line="240" w:lineRule="auto"/>
        <w:jc w:val="both"/>
        <w:rPr>
          <w:rFonts w:ascii="Bookman Old Style" w:hAnsi="Bookman Old Style" w:cs="Arial"/>
          <w:sz w:val="24"/>
          <w:szCs w:val="24"/>
        </w:rPr>
      </w:pPr>
    </w:p>
    <w:p w:rsidR="003345AA" w:rsidRPr="00441FA5" w:rsidRDefault="00611C8B" w:rsidP="006C6C52">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Nancy </w:t>
      </w:r>
      <w:proofErr w:type="spellStart"/>
      <w:r>
        <w:rPr>
          <w:rFonts w:ascii="Bookman Old Style" w:hAnsi="Bookman Old Style" w:cs="Arial"/>
          <w:sz w:val="24"/>
          <w:szCs w:val="24"/>
        </w:rPr>
        <w:t>Lieta</w:t>
      </w:r>
      <w:proofErr w:type="spellEnd"/>
      <w:r>
        <w:rPr>
          <w:rFonts w:ascii="Bookman Old Style" w:hAnsi="Bookman Old Style" w:cs="Arial"/>
          <w:sz w:val="24"/>
          <w:szCs w:val="24"/>
        </w:rPr>
        <w:t xml:space="preserve"> Lima</w:t>
      </w:r>
      <w:r w:rsidR="006F5F57" w:rsidRPr="00441FA5">
        <w:rPr>
          <w:rFonts w:ascii="Bookman Old Style" w:hAnsi="Bookman Old Style" w:cs="Arial"/>
          <w:sz w:val="24"/>
          <w:szCs w:val="24"/>
        </w:rPr>
        <w:t xml:space="preserve">  </w:t>
      </w:r>
      <w:r w:rsidR="006C6C52" w:rsidRPr="00441FA5">
        <w:rPr>
          <w:rFonts w:ascii="Bookman Old Style" w:hAnsi="Bookman Old Style" w:cs="Arial"/>
          <w:sz w:val="24"/>
          <w:szCs w:val="24"/>
        </w:rPr>
        <w:t xml:space="preserve"> </w:t>
      </w:r>
    </w:p>
    <w:p w:rsidR="00F6521C" w:rsidRPr="006F5F57" w:rsidRDefault="00F6521C" w:rsidP="003471CC">
      <w:pPr>
        <w:tabs>
          <w:tab w:val="left" w:pos="3750"/>
        </w:tabs>
        <w:spacing w:after="0"/>
        <w:jc w:val="both"/>
        <w:rPr>
          <w:rFonts w:ascii="Bookman Old Style" w:hAnsi="Bookman Old Style" w:cs="Arial"/>
          <w:b/>
          <w:sz w:val="20"/>
          <w:szCs w:val="20"/>
        </w:rPr>
      </w:pPr>
    </w:p>
    <w:p w:rsidR="00882F1C" w:rsidRDefault="00882F1C" w:rsidP="003471CC">
      <w:pPr>
        <w:tabs>
          <w:tab w:val="left" w:pos="3750"/>
        </w:tabs>
        <w:spacing w:after="0"/>
        <w:jc w:val="both"/>
        <w:rPr>
          <w:rFonts w:ascii="Bookman Old Style" w:hAnsi="Bookman Old Style" w:cs="Arial"/>
          <w:b/>
          <w:sz w:val="21"/>
          <w:szCs w:val="21"/>
        </w:rPr>
      </w:pPr>
    </w:p>
    <w:p w:rsidR="00611C8B" w:rsidRDefault="00611C8B" w:rsidP="003471CC">
      <w:pPr>
        <w:tabs>
          <w:tab w:val="left" w:pos="3750"/>
        </w:tabs>
        <w:spacing w:after="0"/>
        <w:jc w:val="both"/>
        <w:rPr>
          <w:rFonts w:ascii="Bookman Old Style" w:hAnsi="Bookman Old Style" w:cs="Arial"/>
          <w:b/>
          <w:sz w:val="21"/>
          <w:szCs w:val="21"/>
        </w:rPr>
      </w:pPr>
    </w:p>
    <w:p w:rsidR="00611C8B" w:rsidRDefault="00611C8B" w:rsidP="003471CC">
      <w:pPr>
        <w:tabs>
          <w:tab w:val="left" w:pos="3750"/>
        </w:tabs>
        <w:spacing w:after="0"/>
        <w:jc w:val="both"/>
        <w:rPr>
          <w:rFonts w:ascii="Bookman Old Style" w:hAnsi="Bookman Old Style" w:cs="Arial"/>
          <w:b/>
          <w:sz w:val="21"/>
          <w:szCs w:val="21"/>
        </w:rPr>
      </w:pPr>
    </w:p>
    <w:p w:rsidR="00611C8B" w:rsidRDefault="00611C8B" w:rsidP="003471CC">
      <w:pPr>
        <w:tabs>
          <w:tab w:val="left" w:pos="3750"/>
        </w:tabs>
        <w:spacing w:after="0"/>
        <w:jc w:val="both"/>
        <w:rPr>
          <w:rFonts w:ascii="Bookman Old Style" w:hAnsi="Bookman Old Style" w:cs="Arial"/>
          <w:b/>
          <w:sz w:val="21"/>
          <w:szCs w:val="21"/>
        </w:rPr>
      </w:pPr>
    </w:p>
    <w:p w:rsidR="005B4F5A" w:rsidRDefault="005B4F5A" w:rsidP="003471CC">
      <w:pPr>
        <w:tabs>
          <w:tab w:val="left" w:pos="3750"/>
        </w:tabs>
        <w:spacing w:after="0"/>
        <w:jc w:val="both"/>
        <w:rPr>
          <w:rFonts w:ascii="Bookman Old Style" w:hAnsi="Bookman Old Style" w:cs="Arial"/>
          <w:b/>
          <w:sz w:val="21"/>
          <w:szCs w:val="21"/>
        </w:rPr>
      </w:pPr>
    </w:p>
    <w:p w:rsidR="005B4F5A" w:rsidRDefault="005B4F5A" w:rsidP="003471CC">
      <w:pPr>
        <w:tabs>
          <w:tab w:val="left" w:pos="3750"/>
        </w:tabs>
        <w:spacing w:after="0"/>
        <w:jc w:val="both"/>
        <w:rPr>
          <w:rFonts w:ascii="Bookman Old Style" w:hAnsi="Bookman Old Style" w:cs="Arial"/>
          <w:b/>
          <w:sz w:val="21"/>
          <w:szCs w:val="21"/>
        </w:rPr>
      </w:pPr>
    </w:p>
    <w:p w:rsidR="005B4F5A" w:rsidRDefault="005B4F5A" w:rsidP="003471CC">
      <w:pPr>
        <w:tabs>
          <w:tab w:val="left" w:pos="3750"/>
        </w:tabs>
        <w:spacing w:after="0"/>
        <w:jc w:val="both"/>
        <w:rPr>
          <w:rFonts w:ascii="Bookman Old Style" w:hAnsi="Bookman Old Style" w:cs="Arial"/>
          <w:b/>
          <w:sz w:val="21"/>
          <w:szCs w:val="21"/>
        </w:rPr>
      </w:pPr>
    </w:p>
    <w:p w:rsidR="005B4F5A" w:rsidRDefault="005B4F5A" w:rsidP="003471CC">
      <w:pPr>
        <w:tabs>
          <w:tab w:val="left" w:pos="3750"/>
        </w:tabs>
        <w:spacing w:after="0"/>
        <w:jc w:val="both"/>
        <w:rPr>
          <w:rFonts w:ascii="Bookman Old Style" w:hAnsi="Bookman Old Style" w:cs="Arial"/>
          <w:b/>
          <w:sz w:val="21"/>
          <w:szCs w:val="21"/>
        </w:rPr>
      </w:pPr>
    </w:p>
    <w:p w:rsidR="005B4F5A" w:rsidRDefault="005B4F5A" w:rsidP="003471CC">
      <w:pPr>
        <w:tabs>
          <w:tab w:val="left" w:pos="3750"/>
        </w:tabs>
        <w:spacing w:after="0"/>
        <w:jc w:val="both"/>
        <w:rPr>
          <w:rFonts w:ascii="Bookman Old Style" w:hAnsi="Bookman Old Style" w:cs="Arial"/>
          <w:b/>
          <w:sz w:val="21"/>
          <w:szCs w:val="21"/>
        </w:rPr>
      </w:pPr>
    </w:p>
    <w:p w:rsidR="005B4F5A" w:rsidRDefault="005B4F5A" w:rsidP="003471CC">
      <w:pPr>
        <w:tabs>
          <w:tab w:val="left" w:pos="3750"/>
        </w:tabs>
        <w:spacing w:after="0"/>
        <w:jc w:val="both"/>
        <w:rPr>
          <w:rFonts w:ascii="Bookman Old Style" w:hAnsi="Bookman Old Style" w:cs="Arial"/>
          <w:b/>
          <w:sz w:val="21"/>
          <w:szCs w:val="21"/>
        </w:rPr>
      </w:pPr>
    </w:p>
    <w:p w:rsidR="005B4F5A" w:rsidRDefault="005B4F5A" w:rsidP="003471CC">
      <w:pPr>
        <w:tabs>
          <w:tab w:val="left" w:pos="3750"/>
        </w:tabs>
        <w:spacing w:after="0"/>
        <w:jc w:val="both"/>
        <w:rPr>
          <w:rFonts w:ascii="Bookman Old Style" w:hAnsi="Bookman Old Style" w:cs="Arial"/>
          <w:b/>
          <w:sz w:val="21"/>
          <w:szCs w:val="21"/>
        </w:rPr>
      </w:pPr>
    </w:p>
    <w:p w:rsidR="005B4F5A" w:rsidRDefault="005B4F5A" w:rsidP="003471CC">
      <w:pPr>
        <w:tabs>
          <w:tab w:val="left" w:pos="3750"/>
        </w:tabs>
        <w:spacing w:after="0"/>
        <w:jc w:val="both"/>
        <w:rPr>
          <w:rFonts w:ascii="Bookman Old Style" w:hAnsi="Bookman Old Style" w:cs="Arial"/>
          <w:b/>
          <w:sz w:val="21"/>
          <w:szCs w:val="21"/>
        </w:rPr>
      </w:pPr>
    </w:p>
    <w:p w:rsidR="005B4F5A" w:rsidRDefault="005B4F5A" w:rsidP="003471CC">
      <w:pPr>
        <w:tabs>
          <w:tab w:val="left" w:pos="3750"/>
        </w:tabs>
        <w:spacing w:after="0"/>
        <w:jc w:val="both"/>
        <w:rPr>
          <w:rFonts w:ascii="Bookman Old Style" w:hAnsi="Bookman Old Style" w:cs="Arial"/>
          <w:b/>
          <w:sz w:val="21"/>
          <w:szCs w:val="21"/>
        </w:rPr>
      </w:pPr>
    </w:p>
    <w:p w:rsidR="005B4F5A" w:rsidRDefault="005B4F5A" w:rsidP="003471CC">
      <w:pPr>
        <w:tabs>
          <w:tab w:val="left" w:pos="3750"/>
        </w:tabs>
        <w:spacing w:after="0"/>
        <w:jc w:val="both"/>
        <w:rPr>
          <w:rFonts w:ascii="Bookman Old Style" w:hAnsi="Bookman Old Style" w:cs="Arial"/>
          <w:b/>
          <w:sz w:val="21"/>
          <w:szCs w:val="21"/>
        </w:rPr>
      </w:pPr>
    </w:p>
    <w:p w:rsidR="005B4F5A" w:rsidRDefault="005B4F5A" w:rsidP="003471CC">
      <w:pPr>
        <w:tabs>
          <w:tab w:val="left" w:pos="3750"/>
        </w:tabs>
        <w:spacing w:after="0"/>
        <w:jc w:val="both"/>
        <w:rPr>
          <w:rFonts w:ascii="Bookman Old Style" w:hAnsi="Bookman Old Style" w:cs="Arial"/>
          <w:b/>
          <w:sz w:val="21"/>
          <w:szCs w:val="21"/>
        </w:rPr>
      </w:pPr>
    </w:p>
    <w:p w:rsidR="005B4F5A" w:rsidRPr="005B4F5A" w:rsidRDefault="005B4F5A" w:rsidP="005B4F5A">
      <w:pPr>
        <w:pBdr>
          <w:bottom w:val="single" w:sz="4" w:space="1" w:color="auto"/>
        </w:pBdr>
        <w:autoSpaceDE w:val="0"/>
        <w:autoSpaceDN w:val="0"/>
        <w:adjustRightInd w:val="0"/>
        <w:spacing w:after="0" w:line="240" w:lineRule="auto"/>
        <w:rPr>
          <w:rFonts w:ascii="Arial" w:eastAsia="Calibri" w:hAnsi="Arial" w:cs="Arial"/>
          <w:b/>
          <w:bCs/>
          <w:sz w:val="32"/>
          <w:szCs w:val="32"/>
          <w:lang w:eastAsia="en-US"/>
        </w:rPr>
      </w:pPr>
      <w:r w:rsidRPr="005B4F5A">
        <w:rPr>
          <w:rFonts w:ascii="Arial" w:eastAsia="Calibri" w:hAnsi="Arial" w:cs="Arial"/>
          <w:b/>
          <w:bCs/>
          <w:sz w:val="32"/>
          <w:szCs w:val="32"/>
          <w:lang w:eastAsia="en-US"/>
        </w:rPr>
        <w:lastRenderedPageBreak/>
        <w:t>DIRETRIZES DE INVESTIMENTO</w:t>
      </w:r>
    </w:p>
    <w:p w:rsidR="005B4F5A" w:rsidRPr="005B4F5A" w:rsidRDefault="005B4F5A" w:rsidP="005B4F5A">
      <w:pPr>
        <w:autoSpaceDE w:val="0"/>
        <w:autoSpaceDN w:val="0"/>
        <w:adjustRightInd w:val="0"/>
        <w:spacing w:after="0" w:line="240" w:lineRule="auto"/>
        <w:rPr>
          <w:rFonts w:ascii="Tahoma,Bold" w:eastAsia="Calibri" w:hAnsi="Tahoma,Bold" w:cs="Tahoma,Bold"/>
          <w:b/>
          <w:bCs/>
          <w:sz w:val="28"/>
          <w:szCs w:val="28"/>
          <w:lang w:eastAsia="en-US"/>
        </w:rPr>
      </w:pPr>
      <w:r w:rsidRPr="005B4F5A">
        <w:rPr>
          <w:rFonts w:ascii="Arial" w:eastAsia="Calibri" w:hAnsi="Arial" w:cs="Arial"/>
          <w:bCs/>
          <w:sz w:val="29"/>
          <w:szCs w:val="29"/>
          <w:lang w:eastAsia="en-US"/>
        </w:rPr>
        <w:t>Fundo Previdenciário de Muriaé-Muriaé-</w:t>
      </w:r>
      <w:proofErr w:type="spellStart"/>
      <w:r w:rsidRPr="005B4F5A">
        <w:rPr>
          <w:rFonts w:ascii="Arial" w:eastAsia="Calibri" w:hAnsi="Arial" w:cs="Arial"/>
          <w:bCs/>
          <w:sz w:val="29"/>
          <w:szCs w:val="29"/>
          <w:lang w:eastAsia="en-US"/>
        </w:rPr>
        <w:t>Prev</w:t>
      </w:r>
      <w:proofErr w:type="spellEnd"/>
    </w:p>
    <w:p w:rsidR="005B4F5A" w:rsidRPr="005B4F5A" w:rsidRDefault="005B4F5A" w:rsidP="005B4F5A">
      <w:pPr>
        <w:autoSpaceDE w:val="0"/>
        <w:autoSpaceDN w:val="0"/>
        <w:adjustRightInd w:val="0"/>
        <w:spacing w:after="0" w:line="240" w:lineRule="auto"/>
        <w:rPr>
          <w:rFonts w:ascii="Tahoma,Bold" w:eastAsia="Calibri" w:hAnsi="Tahoma,Bold" w:cs="Tahoma,Bold"/>
          <w:b/>
          <w:bCs/>
          <w:sz w:val="42"/>
          <w:szCs w:val="42"/>
          <w:lang w:eastAsia="en-US"/>
        </w:rPr>
      </w:pPr>
    </w:p>
    <w:p w:rsidR="005B4F5A" w:rsidRPr="005B4F5A" w:rsidRDefault="005B4F5A" w:rsidP="005B4F5A">
      <w:pPr>
        <w:autoSpaceDE w:val="0"/>
        <w:autoSpaceDN w:val="0"/>
        <w:adjustRightInd w:val="0"/>
        <w:spacing w:after="0" w:line="240" w:lineRule="auto"/>
        <w:rPr>
          <w:rFonts w:ascii="Tahoma,Bold" w:eastAsia="Calibri" w:hAnsi="Tahoma,Bold" w:cs="Tahoma,Bold"/>
          <w:b/>
          <w:bCs/>
          <w:sz w:val="42"/>
          <w:szCs w:val="42"/>
          <w:lang w:eastAsia="en-US"/>
        </w:rPr>
      </w:pPr>
    </w:p>
    <w:p w:rsidR="005B4F5A" w:rsidRPr="005B4F5A" w:rsidRDefault="005B4F5A" w:rsidP="005B4F5A">
      <w:pPr>
        <w:autoSpaceDE w:val="0"/>
        <w:autoSpaceDN w:val="0"/>
        <w:adjustRightInd w:val="0"/>
        <w:spacing w:after="0" w:line="240" w:lineRule="auto"/>
        <w:rPr>
          <w:rFonts w:ascii="Tahoma,Bold" w:eastAsia="Calibri" w:hAnsi="Tahoma,Bold" w:cs="Tahoma,Bold"/>
          <w:b/>
          <w:bCs/>
          <w:sz w:val="42"/>
          <w:szCs w:val="42"/>
          <w:lang w:eastAsia="en-US"/>
        </w:rPr>
      </w:pPr>
    </w:p>
    <w:p w:rsidR="005B4F5A" w:rsidRPr="005B4F5A" w:rsidRDefault="005B4F5A" w:rsidP="005B4F5A">
      <w:pPr>
        <w:autoSpaceDE w:val="0"/>
        <w:autoSpaceDN w:val="0"/>
        <w:adjustRightInd w:val="0"/>
        <w:spacing w:after="0" w:line="240" w:lineRule="auto"/>
        <w:rPr>
          <w:rFonts w:ascii="Tahoma,Bold" w:eastAsia="Calibri" w:hAnsi="Tahoma,Bold" w:cs="Tahoma,Bold"/>
          <w:b/>
          <w:bCs/>
          <w:sz w:val="42"/>
          <w:szCs w:val="42"/>
          <w:lang w:eastAsia="en-US"/>
        </w:rPr>
      </w:pPr>
    </w:p>
    <w:p w:rsidR="005B4F5A" w:rsidRPr="005B4F5A" w:rsidRDefault="005B4F5A" w:rsidP="005B4F5A">
      <w:pPr>
        <w:autoSpaceDE w:val="0"/>
        <w:autoSpaceDN w:val="0"/>
        <w:adjustRightInd w:val="0"/>
        <w:spacing w:after="0" w:line="240" w:lineRule="auto"/>
        <w:jc w:val="center"/>
        <w:rPr>
          <w:rFonts w:ascii="Berlin Sans FB Demi" w:eastAsia="Calibri" w:hAnsi="Berlin Sans FB Demi" w:cs="Tahoma,Bold"/>
          <w:b/>
          <w:bCs/>
          <w:sz w:val="52"/>
          <w:szCs w:val="52"/>
          <w:lang w:eastAsia="en-US"/>
        </w:rPr>
      </w:pPr>
      <w:r w:rsidRPr="005B4F5A">
        <w:rPr>
          <w:rFonts w:ascii="Berlin Sans FB Demi" w:eastAsia="Calibri" w:hAnsi="Berlin Sans FB Demi" w:cs="Tahoma,Bold"/>
          <w:b/>
          <w:bCs/>
          <w:sz w:val="52"/>
          <w:szCs w:val="52"/>
          <w:lang w:eastAsia="en-US"/>
        </w:rPr>
        <w:t>Política de Investimentos</w:t>
      </w:r>
    </w:p>
    <w:p w:rsidR="005B4F5A" w:rsidRPr="005B4F5A" w:rsidRDefault="005B4F5A" w:rsidP="005B4F5A">
      <w:pPr>
        <w:autoSpaceDE w:val="0"/>
        <w:autoSpaceDN w:val="0"/>
        <w:adjustRightInd w:val="0"/>
        <w:spacing w:after="0" w:line="240" w:lineRule="auto"/>
        <w:jc w:val="center"/>
        <w:rPr>
          <w:rFonts w:ascii="Berlin Sans FB Demi" w:eastAsia="Calibri" w:hAnsi="Berlin Sans FB Demi" w:cs="Tahoma,Bold"/>
          <w:b/>
          <w:bCs/>
          <w:sz w:val="52"/>
          <w:szCs w:val="52"/>
          <w:lang w:eastAsia="en-US"/>
        </w:rPr>
      </w:pPr>
      <w:r w:rsidRPr="005B4F5A">
        <w:rPr>
          <w:rFonts w:ascii="Berlin Sans FB Demi" w:eastAsia="Calibri" w:hAnsi="Berlin Sans FB Demi" w:cs="Tahoma,Bold"/>
          <w:b/>
          <w:bCs/>
          <w:sz w:val="52"/>
          <w:szCs w:val="52"/>
          <w:lang w:eastAsia="en-US"/>
        </w:rPr>
        <w:t>2022</w:t>
      </w:r>
    </w:p>
    <w:p w:rsidR="005B4F5A" w:rsidRPr="005B4F5A" w:rsidRDefault="005B4F5A" w:rsidP="005B4F5A">
      <w:pPr>
        <w:autoSpaceDE w:val="0"/>
        <w:autoSpaceDN w:val="0"/>
        <w:adjustRightInd w:val="0"/>
        <w:spacing w:after="0" w:line="240" w:lineRule="auto"/>
        <w:jc w:val="center"/>
        <w:rPr>
          <w:rFonts w:ascii="Berlin Sans FB Demi" w:eastAsia="Calibri" w:hAnsi="Berlin Sans FB Demi" w:cs="Tahoma,Bold"/>
          <w:b/>
          <w:bCs/>
          <w:sz w:val="40"/>
          <w:szCs w:val="40"/>
          <w:lang w:eastAsia="en-US"/>
        </w:rPr>
      </w:pPr>
      <w:r w:rsidRPr="005B4F5A">
        <w:rPr>
          <w:rFonts w:ascii="Berlin Sans FB Demi" w:eastAsia="Calibri" w:hAnsi="Berlin Sans FB Demi" w:cs="Tahoma,Bold"/>
          <w:b/>
          <w:bCs/>
          <w:sz w:val="40"/>
          <w:szCs w:val="40"/>
          <w:lang w:eastAsia="en-US"/>
        </w:rPr>
        <w:t xml:space="preserve">Conforme Resolução CMN 4.963 de 25 de </w:t>
      </w:r>
      <w:proofErr w:type="gramStart"/>
      <w:r w:rsidRPr="005B4F5A">
        <w:rPr>
          <w:rFonts w:ascii="Berlin Sans FB Demi" w:eastAsia="Calibri" w:hAnsi="Berlin Sans FB Demi" w:cs="Tahoma,Bold"/>
          <w:b/>
          <w:bCs/>
          <w:sz w:val="40"/>
          <w:szCs w:val="40"/>
          <w:lang w:eastAsia="en-US"/>
        </w:rPr>
        <w:t>Novembro</w:t>
      </w:r>
      <w:proofErr w:type="gramEnd"/>
      <w:r w:rsidRPr="005B4F5A">
        <w:rPr>
          <w:rFonts w:ascii="Berlin Sans FB Demi" w:eastAsia="Calibri" w:hAnsi="Berlin Sans FB Demi" w:cs="Tahoma,Bold"/>
          <w:b/>
          <w:bCs/>
          <w:sz w:val="40"/>
          <w:szCs w:val="40"/>
          <w:lang w:eastAsia="en-US"/>
        </w:rPr>
        <w:t xml:space="preserve"> de 2021</w:t>
      </w:r>
    </w:p>
    <w:p w:rsidR="005B4F5A" w:rsidRPr="005B4F5A" w:rsidRDefault="005B4F5A" w:rsidP="005B4F5A">
      <w:pPr>
        <w:autoSpaceDE w:val="0"/>
        <w:autoSpaceDN w:val="0"/>
        <w:adjustRightInd w:val="0"/>
        <w:spacing w:after="0" w:line="240" w:lineRule="auto"/>
        <w:jc w:val="both"/>
        <w:rPr>
          <w:rFonts w:ascii="BookmanOldStyle,BoldItalic" w:eastAsia="Calibri" w:hAnsi="BookmanOldStyle,BoldItalic" w:cs="BookmanOldStyle,BoldItalic"/>
          <w:b/>
          <w:bCs/>
          <w:i/>
          <w:iCs/>
          <w:sz w:val="28"/>
          <w:szCs w:val="28"/>
          <w:lang w:eastAsia="en-US"/>
        </w:rPr>
      </w:pPr>
    </w:p>
    <w:p w:rsidR="005B4F5A" w:rsidRPr="005B4F5A" w:rsidRDefault="005B4F5A" w:rsidP="005B4F5A">
      <w:pPr>
        <w:autoSpaceDE w:val="0"/>
        <w:autoSpaceDN w:val="0"/>
        <w:adjustRightInd w:val="0"/>
        <w:spacing w:after="0" w:line="240" w:lineRule="auto"/>
        <w:jc w:val="both"/>
        <w:rPr>
          <w:rFonts w:ascii="BookmanOldStyle,BoldItalic" w:eastAsia="Calibri" w:hAnsi="BookmanOldStyle,BoldItalic" w:cs="BookmanOldStyle,BoldItalic"/>
          <w:b/>
          <w:bCs/>
          <w:i/>
          <w:iCs/>
          <w:sz w:val="28"/>
          <w:szCs w:val="28"/>
          <w:lang w:eastAsia="en-US"/>
        </w:rPr>
      </w:pPr>
    </w:p>
    <w:p w:rsidR="005B4F5A" w:rsidRPr="005B4F5A" w:rsidRDefault="005B4F5A" w:rsidP="005B4F5A">
      <w:pPr>
        <w:autoSpaceDE w:val="0"/>
        <w:autoSpaceDN w:val="0"/>
        <w:adjustRightInd w:val="0"/>
        <w:spacing w:after="0" w:line="240" w:lineRule="auto"/>
        <w:jc w:val="both"/>
        <w:rPr>
          <w:rFonts w:ascii="BookmanOldStyle,BoldItalic" w:eastAsia="Calibri" w:hAnsi="BookmanOldStyle,BoldItalic" w:cs="BookmanOldStyle,BoldItalic"/>
          <w:b/>
          <w:bCs/>
          <w:i/>
          <w:iCs/>
          <w:sz w:val="28"/>
          <w:szCs w:val="28"/>
          <w:lang w:eastAsia="en-US"/>
        </w:rPr>
      </w:pPr>
    </w:p>
    <w:p w:rsidR="005B4F5A" w:rsidRPr="005B4F5A" w:rsidRDefault="005B4F5A" w:rsidP="005B4F5A">
      <w:pPr>
        <w:autoSpaceDE w:val="0"/>
        <w:autoSpaceDN w:val="0"/>
        <w:adjustRightInd w:val="0"/>
        <w:spacing w:after="0" w:line="240" w:lineRule="auto"/>
        <w:jc w:val="both"/>
        <w:rPr>
          <w:rFonts w:ascii="BookmanOldStyle,BoldItalic" w:eastAsia="Calibri" w:hAnsi="BookmanOldStyle,BoldItalic" w:cs="BookmanOldStyle,BoldItalic"/>
          <w:b/>
          <w:bCs/>
          <w:i/>
          <w:iCs/>
          <w:sz w:val="28"/>
          <w:szCs w:val="28"/>
          <w:lang w:eastAsia="en-US"/>
        </w:rPr>
      </w:pPr>
    </w:p>
    <w:p w:rsidR="005B4F5A" w:rsidRPr="005B4F5A" w:rsidRDefault="005B4F5A" w:rsidP="005B4F5A">
      <w:pPr>
        <w:autoSpaceDE w:val="0"/>
        <w:autoSpaceDN w:val="0"/>
        <w:adjustRightInd w:val="0"/>
        <w:spacing w:after="0" w:line="240" w:lineRule="auto"/>
        <w:jc w:val="both"/>
        <w:rPr>
          <w:rFonts w:ascii="BookmanOldStyle,BoldItalic" w:eastAsia="Calibri" w:hAnsi="BookmanOldStyle,BoldItalic" w:cs="BookmanOldStyle,BoldItalic"/>
          <w:b/>
          <w:bCs/>
          <w:i/>
          <w:iCs/>
          <w:sz w:val="28"/>
          <w:szCs w:val="28"/>
          <w:lang w:eastAsia="en-US"/>
        </w:rPr>
      </w:pPr>
    </w:p>
    <w:p w:rsidR="005B4F5A" w:rsidRPr="005B4F5A" w:rsidRDefault="005B4F5A" w:rsidP="005B4F5A">
      <w:pPr>
        <w:autoSpaceDE w:val="0"/>
        <w:autoSpaceDN w:val="0"/>
        <w:adjustRightInd w:val="0"/>
        <w:spacing w:after="0" w:line="240" w:lineRule="auto"/>
        <w:jc w:val="both"/>
        <w:rPr>
          <w:rFonts w:ascii="BookmanOldStyle,BoldItalic" w:eastAsia="Calibri" w:hAnsi="BookmanOldStyle,BoldItalic" w:cs="BookmanOldStyle,BoldItalic"/>
          <w:b/>
          <w:bCs/>
          <w:i/>
          <w:iCs/>
          <w:sz w:val="28"/>
          <w:szCs w:val="28"/>
          <w:lang w:eastAsia="en-US"/>
        </w:rPr>
      </w:pPr>
    </w:p>
    <w:p w:rsidR="005B4F5A" w:rsidRPr="005B4F5A" w:rsidRDefault="005B4F5A" w:rsidP="005B4F5A">
      <w:pPr>
        <w:autoSpaceDE w:val="0"/>
        <w:autoSpaceDN w:val="0"/>
        <w:adjustRightInd w:val="0"/>
        <w:spacing w:after="0" w:line="240" w:lineRule="auto"/>
        <w:jc w:val="both"/>
        <w:rPr>
          <w:rFonts w:ascii="BookmanOldStyle,BoldItalic" w:eastAsia="Calibri" w:hAnsi="BookmanOldStyle,BoldItalic" w:cs="BookmanOldStyle,BoldItalic"/>
          <w:b/>
          <w:bCs/>
          <w:i/>
          <w:iCs/>
          <w:sz w:val="28"/>
          <w:szCs w:val="28"/>
          <w:lang w:eastAsia="en-US"/>
        </w:rPr>
      </w:pPr>
    </w:p>
    <w:p w:rsidR="005B4F5A" w:rsidRPr="005B4F5A" w:rsidRDefault="005B4F5A" w:rsidP="005B4F5A">
      <w:pPr>
        <w:autoSpaceDE w:val="0"/>
        <w:autoSpaceDN w:val="0"/>
        <w:adjustRightInd w:val="0"/>
        <w:spacing w:after="0" w:line="240" w:lineRule="auto"/>
        <w:jc w:val="both"/>
        <w:rPr>
          <w:rFonts w:ascii="BookmanOldStyle,BoldItalic" w:eastAsia="Calibri" w:hAnsi="BookmanOldStyle,BoldItalic" w:cs="BookmanOldStyle,BoldItalic"/>
          <w:b/>
          <w:bCs/>
          <w:i/>
          <w:iCs/>
          <w:sz w:val="28"/>
          <w:szCs w:val="28"/>
          <w:lang w:eastAsia="en-US"/>
        </w:rPr>
      </w:pPr>
    </w:p>
    <w:p w:rsidR="005B4F5A" w:rsidRPr="005B4F5A" w:rsidRDefault="005B4F5A" w:rsidP="005B4F5A">
      <w:pPr>
        <w:autoSpaceDE w:val="0"/>
        <w:autoSpaceDN w:val="0"/>
        <w:adjustRightInd w:val="0"/>
        <w:spacing w:after="0" w:line="240" w:lineRule="auto"/>
        <w:jc w:val="both"/>
        <w:rPr>
          <w:rFonts w:ascii="BookmanOldStyle,BoldItalic" w:eastAsia="Calibri" w:hAnsi="BookmanOldStyle,BoldItalic" w:cs="BookmanOldStyle,BoldItalic"/>
          <w:b/>
          <w:bCs/>
          <w:i/>
          <w:iCs/>
          <w:sz w:val="28"/>
          <w:szCs w:val="28"/>
          <w:lang w:eastAsia="en-US"/>
        </w:rPr>
      </w:pPr>
    </w:p>
    <w:p w:rsidR="005B4F5A" w:rsidRPr="005B4F5A" w:rsidRDefault="005B4F5A" w:rsidP="005B4F5A">
      <w:pPr>
        <w:autoSpaceDE w:val="0"/>
        <w:autoSpaceDN w:val="0"/>
        <w:adjustRightInd w:val="0"/>
        <w:spacing w:after="0" w:line="240" w:lineRule="auto"/>
        <w:jc w:val="both"/>
        <w:rPr>
          <w:rFonts w:ascii="BookmanOldStyle,BoldItalic" w:eastAsia="Calibri" w:hAnsi="BookmanOldStyle,BoldItalic" w:cs="BookmanOldStyle,BoldItalic"/>
          <w:b/>
          <w:bCs/>
          <w:i/>
          <w:iCs/>
          <w:sz w:val="28"/>
          <w:szCs w:val="28"/>
          <w:lang w:eastAsia="en-US"/>
        </w:rPr>
      </w:pPr>
    </w:p>
    <w:p w:rsidR="005B4F5A" w:rsidRPr="005B4F5A" w:rsidRDefault="005B4F5A" w:rsidP="005B4F5A">
      <w:pPr>
        <w:autoSpaceDE w:val="0"/>
        <w:autoSpaceDN w:val="0"/>
        <w:adjustRightInd w:val="0"/>
        <w:spacing w:after="0" w:line="240" w:lineRule="auto"/>
        <w:jc w:val="both"/>
        <w:rPr>
          <w:rFonts w:ascii="BookmanOldStyle,BoldItalic" w:eastAsia="Calibri" w:hAnsi="BookmanOldStyle,BoldItalic" w:cs="BookmanOldStyle,BoldItalic"/>
          <w:b/>
          <w:bCs/>
          <w:i/>
          <w:iCs/>
          <w:sz w:val="28"/>
          <w:szCs w:val="28"/>
          <w:lang w:eastAsia="en-US"/>
        </w:rPr>
      </w:pPr>
    </w:p>
    <w:p w:rsidR="005B4F5A" w:rsidRPr="005B4F5A" w:rsidRDefault="005B4F5A" w:rsidP="005B4F5A">
      <w:pPr>
        <w:autoSpaceDE w:val="0"/>
        <w:autoSpaceDN w:val="0"/>
        <w:adjustRightInd w:val="0"/>
        <w:spacing w:after="0" w:line="240" w:lineRule="auto"/>
        <w:jc w:val="center"/>
        <w:rPr>
          <w:rFonts w:ascii="Calibri Light" w:eastAsia="Calibri" w:hAnsi="Calibri Light" w:cs="BookmanOldStyle,BoldItalic"/>
          <w:b/>
          <w:bCs/>
          <w:iCs/>
          <w:sz w:val="28"/>
          <w:szCs w:val="28"/>
          <w:lang w:eastAsia="en-US"/>
        </w:rPr>
      </w:pPr>
      <w:r w:rsidRPr="005B4F5A">
        <w:rPr>
          <w:rFonts w:ascii="Calibri Light" w:eastAsia="Calibri" w:hAnsi="Calibri Light" w:cs="BookmanOldStyle,BoldItalic"/>
          <w:b/>
          <w:bCs/>
          <w:iCs/>
          <w:sz w:val="28"/>
          <w:szCs w:val="28"/>
          <w:lang w:eastAsia="en-US"/>
        </w:rPr>
        <w:t xml:space="preserve">“As aplicações de recursos nos segmentos de investimento definidos nesta Política de Investimentos deverão ser objeto de aprovação prévia na Instância Superior do Regime Próprio de Previdência </w:t>
      </w:r>
      <w:proofErr w:type="gramStart"/>
      <w:r w:rsidRPr="005B4F5A">
        <w:rPr>
          <w:rFonts w:ascii="Calibri Light" w:eastAsia="Calibri" w:hAnsi="Calibri Light" w:cs="BookmanOldStyle,BoldItalic"/>
          <w:b/>
          <w:bCs/>
          <w:iCs/>
          <w:sz w:val="28"/>
          <w:szCs w:val="28"/>
          <w:lang w:eastAsia="en-US"/>
        </w:rPr>
        <w:t>Social.”</w:t>
      </w:r>
      <w:proofErr w:type="gramEnd"/>
    </w:p>
    <w:p w:rsidR="005B4F5A" w:rsidRPr="005B4F5A" w:rsidRDefault="005B4F5A" w:rsidP="005B4F5A">
      <w:pPr>
        <w:jc w:val="both"/>
        <w:rPr>
          <w:rFonts w:ascii="Tahoma" w:eastAsia="Calibri" w:hAnsi="Tahoma" w:cs="Tahoma"/>
          <w:sz w:val="24"/>
          <w:szCs w:val="24"/>
          <w:lang w:eastAsia="en-US"/>
        </w:rPr>
      </w:pPr>
      <w:r w:rsidRPr="005B4F5A">
        <w:rPr>
          <w:rFonts w:ascii="Tahoma" w:eastAsia="Calibri" w:hAnsi="Tahoma" w:cs="Tahoma"/>
          <w:sz w:val="24"/>
          <w:szCs w:val="24"/>
          <w:lang w:eastAsia="en-US"/>
        </w:rPr>
        <w:br w:type="page"/>
      </w:r>
    </w:p>
    <w:p w:rsidR="005B4F5A" w:rsidRPr="005B4F5A" w:rsidRDefault="005B4F5A" w:rsidP="005B4F5A">
      <w:pPr>
        <w:pBdr>
          <w:bottom w:val="single" w:sz="4" w:space="1" w:color="auto"/>
        </w:pBdr>
        <w:autoSpaceDE w:val="0"/>
        <w:autoSpaceDN w:val="0"/>
        <w:adjustRightInd w:val="0"/>
        <w:spacing w:after="0" w:line="240" w:lineRule="auto"/>
        <w:rPr>
          <w:rFonts w:ascii="Arial" w:eastAsia="Calibri" w:hAnsi="Arial" w:cs="Arial"/>
          <w:sz w:val="24"/>
          <w:szCs w:val="24"/>
          <w:lang w:eastAsia="en-US"/>
        </w:rPr>
      </w:pPr>
      <w:r w:rsidRPr="005B4F5A">
        <w:rPr>
          <w:rFonts w:ascii="Arial" w:eastAsia="Calibri" w:hAnsi="Arial" w:cs="Arial"/>
          <w:sz w:val="24"/>
          <w:szCs w:val="24"/>
          <w:lang w:eastAsia="en-US"/>
        </w:rPr>
        <w:lastRenderedPageBreak/>
        <w:t>FUNDO PREVIDENCIÁRIO DE MURIAÉ-MURIAÉ-PREV</w:t>
      </w:r>
    </w:p>
    <w:p w:rsidR="005B4F5A" w:rsidRPr="005B4F5A" w:rsidRDefault="005B4F5A" w:rsidP="005B4F5A">
      <w:pPr>
        <w:autoSpaceDE w:val="0"/>
        <w:autoSpaceDN w:val="0"/>
        <w:adjustRightInd w:val="0"/>
        <w:spacing w:after="0" w:line="240" w:lineRule="auto"/>
        <w:jc w:val="right"/>
        <w:rPr>
          <w:rFonts w:ascii="Arial" w:eastAsia="Calibri" w:hAnsi="Arial" w:cs="Arial"/>
          <w:sz w:val="20"/>
          <w:szCs w:val="20"/>
          <w:lang w:eastAsia="en-US"/>
        </w:rPr>
      </w:pPr>
      <w:r w:rsidRPr="005B4F5A">
        <w:rPr>
          <w:rFonts w:ascii="Arial" w:eastAsia="Calibri" w:hAnsi="Arial" w:cs="Arial"/>
          <w:sz w:val="20"/>
          <w:szCs w:val="20"/>
          <w:lang w:eastAsia="en-US"/>
        </w:rPr>
        <w:t>Política de Investimento / 2022</w:t>
      </w:r>
    </w:p>
    <w:p w:rsidR="005B4F5A" w:rsidRPr="005B4F5A" w:rsidRDefault="005B4F5A" w:rsidP="005B4F5A">
      <w:pPr>
        <w:autoSpaceDE w:val="0"/>
        <w:autoSpaceDN w:val="0"/>
        <w:adjustRightInd w:val="0"/>
        <w:spacing w:after="0" w:line="240" w:lineRule="auto"/>
        <w:rPr>
          <w:rFonts w:ascii="Times New Roman" w:eastAsia="Calibri" w:hAnsi="Times New Roman" w:cs="Times New Roman"/>
          <w:sz w:val="24"/>
          <w:szCs w:val="24"/>
          <w:lang w:eastAsia="en-US"/>
        </w:rPr>
      </w:pPr>
    </w:p>
    <w:p w:rsidR="005B4F5A" w:rsidRPr="005B4F5A" w:rsidRDefault="005B4F5A" w:rsidP="005B4F5A">
      <w:pPr>
        <w:numPr>
          <w:ilvl w:val="0"/>
          <w:numId w:val="2"/>
        </w:numPr>
        <w:autoSpaceDE w:val="0"/>
        <w:autoSpaceDN w:val="0"/>
        <w:adjustRightInd w:val="0"/>
        <w:spacing w:after="0" w:line="240" w:lineRule="auto"/>
        <w:ind w:left="284" w:hanging="284"/>
        <w:contextualSpacing/>
        <w:jc w:val="both"/>
        <w:rPr>
          <w:rFonts w:ascii="Calibri Light" w:eastAsia="Calibri" w:hAnsi="Calibri Light" w:cs="Arial"/>
          <w:b/>
          <w:bCs/>
          <w:sz w:val="24"/>
          <w:szCs w:val="24"/>
          <w:lang w:eastAsia="en-US"/>
        </w:rPr>
      </w:pPr>
      <w:r w:rsidRPr="005B4F5A">
        <w:rPr>
          <w:rFonts w:ascii="Calibri Light" w:eastAsia="Calibri" w:hAnsi="Calibri Light" w:cs="Arial"/>
          <w:b/>
          <w:bCs/>
          <w:sz w:val="24"/>
          <w:szCs w:val="24"/>
          <w:lang w:eastAsia="en-US"/>
        </w:rPr>
        <w:t>Introdução</w:t>
      </w:r>
    </w:p>
    <w:p w:rsidR="005B4F5A" w:rsidRPr="005B4F5A" w:rsidRDefault="005B4F5A" w:rsidP="005B4F5A">
      <w:pPr>
        <w:autoSpaceDE w:val="0"/>
        <w:autoSpaceDN w:val="0"/>
        <w:adjustRightInd w:val="0"/>
        <w:spacing w:after="0" w:line="240" w:lineRule="auto"/>
        <w:contextualSpacing/>
        <w:jc w:val="both"/>
        <w:rPr>
          <w:rFonts w:ascii="Calibri Light" w:eastAsia="Calibri" w:hAnsi="Calibri Light" w:cs="Arial"/>
          <w:b/>
          <w:bCs/>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Atendendo à legislação pertinente aos investimentos dos Regimes Próprios de Previdência Social – RPPS, em especial à Resolução CMN nº. 4.963, de 25 de novembro de 2021, o Regime Próprio de Previdência Social, por meio de seu Conselho Deliberativo, está apresentando a versão de sua Política de Investimentos para o ano de 2022, devidamente aprovada pelo órgão superior de supervisão e deliberação.</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6"/>
          <w:szCs w:val="6"/>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Trata-se de uma formalidade legal que fundamenta e norteia todo o processo de tomada de decisão relativa aos investimentos do Instituto de Previdência Social dos Servidores Públicos do Município utilizado como instrumento necessário para garantir a consistência da gestão dos recursos no decorrer do tempo e visar à manutenção do equilíbrio econômico-financeiro entre os seus ativos e passivos.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6"/>
          <w:szCs w:val="6"/>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numPr>
          <w:ilvl w:val="0"/>
          <w:numId w:val="2"/>
        </w:numPr>
        <w:autoSpaceDE w:val="0"/>
        <w:autoSpaceDN w:val="0"/>
        <w:adjustRightInd w:val="0"/>
        <w:spacing w:after="0" w:line="240" w:lineRule="auto"/>
        <w:ind w:left="284" w:hanging="284"/>
        <w:contextualSpacing/>
        <w:jc w:val="both"/>
        <w:rPr>
          <w:rFonts w:ascii="Calibri Light" w:eastAsia="Calibri" w:hAnsi="Calibri Light" w:cs="Tahoma,Bold"/>
          <w:b/>
          <w:bCs/>
          <w:sz w:val="24"/>
          <w:szCs w:val="24"/>
          <w:lang w:eastAsia="en-US"/>
        </w:rPr>
      </w:pPr>
      <w:r w:rsidRPr="005B4F5A">
        <w:rPr>
          <w:rFonts w:ascii="Calibri Light" w:eastAsia="Calibri" w:hAnsi="Calibri Light" w:cs="Tahoma,Bold"/>
          <w:b/>
          <w:bCs/>
          <w:sz w:val="24"/>
          <w:szCs w:val="24"/>
          <w:lang w:eastAsia="en-US"/>
        </w:rPr>
        <w:t>Objetivos</w:t>
      </w:r>
    </w:p>
    <w:p w:rsidR="005B4F5A" w:rsidRPr="005B4F5A" w:rsidRDefault="005B4F5A" w:rsidP="005B4F5A">
      <w:pPr>
        <w:autoSpaceDE w:val="0"/>
        <w:autoSpaceDN w:val="0"/>
        <w:adjustRightInd w:val="0"/>
        <w:spacing w:after="0" w:line="240" w:lineRule="auto"/>
        <w:contextualSpacing/>
        <w:jc w:val="both"/>
        <w:rPr>
          <w:rFonts w:ascii="Calibri Light" w:eastAsia="Calibri" w:hAnsi="Calibri Light" w:cs="Tahoma,Bold"/>
          <w:b/>
          <w:bCs/>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A Política de Investimentos tem o papel de delimitar os objetivos do RPPS</w:t>
      </w:r>
      <w:r w:rsidRPr="005B4F5A">
        <w:rPr>
          <w:rFonts w:ascii="Calibri Light" w:eastAsia="Calibri" w:hAnsi="Calibri Light" w:cs="Tahoma"/>
          <w:sz w:val="24"/>
          <w:szCs w:val="24"/>
          <w:vertAlign w:val="superscript"/>
          <w:lang w:eastAsia="en-US"/>
        </w:rPr>
        <w:footnoteReference w:id="1"/>
      </w:r>
      <w:r w:rsidRPr="005B4F5A">
        <w:rPr>
          <w:rFonts w:ascii="Calibri Light" w:eastAsia="Calibri" w:hAnsi="Calibri Light" w:cs="Tahoma"/>
          <w:sz w:val="24"/>
          <w:szCs w:val="24"/>
          <w:lang w:eastAsia="en-US"/>
        </w:rPr>
        <w:t xml:space="preserve"> em relação à gestão de seus ativos, facilitando a comunicação dos mesmos aos órgãos reguladores do Sistema e aos participantes. O presente documento busca se adequar às mudanças ocorridas no âmbito do sistema de previdência dos Regimes Próprios e às mudanças advindas do próprio mercado financeiro.</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É um instrumento que proporciona à Diretoria e aos demais órgãos envolvidos na gestão dos recursos uma melhor definição das diretrizes básicas, dos limites de risco a que serão expostos os conjuntos de investimentos. Tratará, ainda, o presente documento da rentabilidade mínima a ser buscada pelos gestores, da adequação da Carteira aos ditames legais e da estratégia de alocação de recursos a vigorar no período de 01/01/2022 à 31/12/2022.</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No intuito de alcançar determinada taxa de rentabilidade real para a carteira do RPPS, a estratégia de investimento prevê sua diversificação, tanto no nível de classe de ativos (renda fixa, renda variável, exterior) quanto na segmentação por subclasse de ativos, emissor, vencimentos diversos e indexadores, visando, igualmente, a otimização da relação risco-retorno do montante total aplicado.</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Sempre será considerada a preservação do capital, os níveis de risco adequados ao perfil do RPPS, a taxa esperada de retorno, os limites legais e operacionais, a liquidez adequada dos ativos, traçando-se uma estratégia de investimentos, não só focada no curto e médio prazo, mas, principalmente, no longo prazo.</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8"/>
          <w:szCs w:val="8"/>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6"/>
          <w:szCs w:val="6"/>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24"/>
          <w:szCs w:val="24"/>
          <w:lang w:eastAsia="en-US"/>
        </w:rPr>
      </w:pPr>
      <w:r w:rsidRPr="005B4F5A">
        <w:rPr>
          <w:rFonts w:ascii="Calibri Light" w:eastAsia="Calibri" w:hAnsi="Calibri Light" w:cs="Tahoma,Bold"/>
          <w:b/>
          <w:bCs/>
          <w:sz w:val="24"/>
          <w:szCs w:val="24"/>
          <w:lang w:eastAsia="en-US"/>
        </w:rPr>
        <w:t>2.1 O Conselho Deliberativo:</w:t>
      </w:r>
    </w:p>
    <w:p w:rsidR="005B4F5A" w:rsidRPr="005B4F5A" w:rsidRDefault="005B4F5A" w:rsidP="005B4F5A">
      <w:pPr>
        <w:numPr>
          <w:ilvl w:val="0"/>
          <w:numId w:val="3"/>
        </w:numPr>
        <w:autoSpaceDE w:val="0"/>
        <w:autoSpaceDN w:val="0"/>
        <w:adjustRightInd w:val="0"/>
        <w:spacing w:after="0" w:line="240" w:lineRule="auto"/>
        <w:contextualSpacing/>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Aprovar as aplicações de recursos nos segmentos de investimento previstos nesta Política de Investimentos;</w:t>
      </w:r>
    </w:p>
    <w:p w:rsidR="005B4F5A" w:rsidRPr="005B4F5A" w:rsidRDefault="005B4F5A" w:rsidP="005B4F5A">
      <w:pPr>
        <w:numPr>
          <w:ilvl w:val="0"/>
          <w:numId w:val="3"/>
        </w:numPr>
        <w:autoSpaceDE w:val="0"/>
        <w:autoSpaceDN w:val="0"/>
        <w:adjustRightInd w:val="0"/>
        <w:spacing w:after="0" w:line="240" w:lineRule="auto"/>
        <w:contextualSpacing/>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lastRenderedPageBreak/>
        <w:t>Aprovar os limites operacionais e os intervalos de risco que poderão ser assumidos no âmbito da gestão dos recursos garantidores dos planos de benefícios;</w:t>
      </w:r>
    </w:p>
    <w:p w:rsidR="005B4F5A" w:rsidRPr="005B4F5A" w:rsidRDefault="005B4F5A" w:rsidP="005B4F5A">
      <w:pPr>
        <w:numPr>
          <w:ilvl w:val="0"/>
          <w:numId w:val="3"/>
        </w:numPr>
        <w:autoSpaceDE w:val="0"/>
        <w:autoSpaceDN w:val="0"/>
        <w:adjustRightInd w:val="0"/>
        <w:spacing w:after="0" w:line="240" w:lineRule="auto"/>
        <w:contextualSpacing/>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Aprovar o percentual máximo (com relação ao total da carteira) a ser conferido aos administradores/gestores de recursos dos planos;</w:t>
      </w:r>
    </w:p>
    <w:p w:rsidR="005B4F5A" w:rsidRPr="005B4F5A" w:rsidRDefault="005B4F5A" w:rsidP="005B4F5A">
      <w:pPr>
        <w:numPr>
          <w:ilvl w:val="0"/>
          <w:numId w:val="3"/>
        </w:numPr>
        <w:autoSpaceDE w:val="0"/>
        <w:autoSpaceDN w:val="0"/>
        <w:adjustRightInd w:val="0"/>
        <w:spacing w:after="0" w:line="240" w:lineRule="auto"/>
        <w:contextualSpacing/>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Determinar o percentual máximo do total de ativos dos planos a ser gerido como carteira própria;</w:t>
      </w:r>
    </w:p>
    <w:p w:rsidR="005B4F5A" w:rsidRPr="005B4F5A" w:rsidRDefault="005B4F5A" w:rsidP="005B4F5A">
      <w:pPr>
        <w:numPr>
          <w:ilvl w:val="0"/>
          <w:numId w:val="3"/>
        </w:numPr>
        <w:autoSpaceDE w:val="0"/>
        <w:autoSpaceDN w:val="0"/>
        <w:adjustRightInd w:val="0"/>
        <w:spacing w:after="0" w:line="240" w:lineRule="auto"/>
        <w:contextualSpacing/>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Aprovar os planos de enquadramento às legislações vigentes;</w:t>
      </w:r>
    </w:p>
    <w:p w:rsidR="005B4F5A" w:rsidRPr="005B4F5A" w:rsidRDefault="005B4F5A" w:rsidP="005B4F5A">
      <w:pPr>
        <w:numPr>
          <w:ilvl w:val="0"/>
          <w:numId w:val="3"/>
        </w:numPr>
        <w:autoSpaceDE w:val="0"/>
        <w:autoSpaceDN w:val="0"/>
        <w:adjustRightInd w:val="0"/>
        <w:spacing w:after="0" w:line="240" w:lineRule="auto"/>
        <w:contextualSpacing/>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Aprovar os critérios para seleção e avaliação de gestor (es) de recurso (s) dos planos, bem como o limite máximo de remuneração do (s) referido (s) gestor (es).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rPr>
          <w:rFonts w:ascii="Calibri Light" w:eastAsia="Calibri" w:hAnsi="Calibri Light" w:cs="Tahoma,Bold"/>
          <w:b/>
          <w:bCs/>
          <w:sz w:val="24"/>
          <w:szCs w:val="24"/>
          <w:lang w:eastAsia="en-US"/>
        </w:rPr>
      </w:pPr>
      <w:r w:rsidRPr="005B4F5A">
        <w:rPr>
          <w:rFonts w:ascii="Calibri Light" w:eastAsia="Calibri" w:hAnsi="Calibri Light" w:cs="Tahoma,Bold"/>
          <w:b/>
          <w:bCs/>
          <w:sz w:val="24"/>
          <w:szCs w:val="24"/>
          <w:lang w:eastAsia="en-US"/>
        </w:rPr>
        <w:t>3. Cenário Econômico</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Bookman Old Style" w:eastAsia="Times New Roman" w:hAnsi="Bookman Old Style" w:cs="Calibri"/>
          <w:color w:val="000000"/>
          <w:sz w:val="24"/>
          <w:szCs w:val="24"/>
        </w:rPr>
        <w:t xml:space="preserve">         </w:t>
      </w:r>
      <w:r w:rsidRPr="005B4F5A">
        <w:rPr>
          <w:rFonts w:ascii="Calibri Light" w:eastAsia="Calibri" w:hAnsi="Calibri Light" w:cs="Tahoma"/>
          <w:sz w:val="24"/>
          <w:szCs w:val="24"/>
          <w:lang w:eastAsia="en-US"/>
        </w:rPr>
        <w:t xml:space="preserve">O mercado financeiro espera para o ano de 2022 taxa de juro em patamar acima de 9% ao ano, inflação ainda elevada e processo lento de recuperação do PIB, mesmo com as medidas implementadas durante a pandemia da Covid-19 de estímulo ao consumo e ajuda na retomada do crescimento da economia. </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ab/>
        <w:t>No mercado internacional, o cenário deve se manter desafiador com juros em elevação nos países desenvolvidos. A tendência global é ainda é de um Dólar forte, impulsionado pela expectativa de recuperação da economia internacional. No mercado doméstico parece ter prevalecido as análises dos analistas de mercado para o cenário dos juros, com as projeções para a taxa de inflação ainda não totalmente sob controle.</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ab/>
        <w:t>Neste aspecto, os dados de mercado (IBGE) mostram inflação (IPCA) persistente. Para 2022, os economistas das instituições financeiras trabalham com estimativa de inflação de 4,40%.</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tbl>
      <w:tblPr>
        <w:tblW w:w="8136" w:type="dxa"/>
        <w:jc w:val="center"/>
        <w:tblBorders>
          <w:top w:val="single" w:sz="6" w:space="0" w:color="EEEEEE"/>
          <w:left w:val="single" w:sz="2" w:space="0" w:color="EEEEEE"/>
          <w:bottom w:val="single" w:sz="6" w:space="0" w:color="EEEEEE"/>
          <w:right w:val="single" w:sz="2" w:space="0" w:color="EEEEEE"/>
        </w:tblBorders>
        <w:tblCellMar>
          <w:left w:w="0" w:type="dxa"/>
          <w:right w:w="0" w:type="dxa"/>
        </w:tblCellMar>
        <w:tblLook w:val="04A0" w:firstRow="1" w:lastRow="0" w:firstColumn="1" w:lastColumn="0" w:noHBand="0" w:noVBand="1"/>
      </w:tblPr>
      <w:tblGrid>
        <w:gridCol w:w="5620"/>
        <w:gridCol w:w="2516"/>
      </w:tblGrid>
      <w:tr w:rsidR="005B4F5A" w:rsidRPr="005B4F5A" w:rsidTr="005B4F5A">
        <w:trPr>
          <w:trHeight w:val="260"/>
          <w:jc w:val="center"/>
        </w:trPr>
        <w:tc>
          <w:tcPr>
            <w:tcW w:w="5620" w:type="dxa"/>
            <w:tcBorders>
              <w:top w:val="nil"/>
              <w:left w:val="nil"/>
              <w:bottom w:val="single" w:sz="6" w:space="0" w:color="FFFFFF"/>
              <w:right w:val="single" w:sz="6" w:space="0" w:color="FFFFFF"/>
            </w:tcBorders>
            <w:shd w:val="clear" w:color="auto" w:fill="EEEEEE"/>
            <w:vAlign w:val="center"/>
            <w:hideMark/>
          </w:tcPr>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PREVISÃO</w:t>
            </w:r>
          </w:p>
        </w:tc>
        <w:tc>
          <w:tcPr>
            <w:tcW w:w="0" w:type="auto"/>
            <w:tcBorders>
              <w:top w:val="nil"/>
              <w:left w:val="single" w:sz="6" w:space="0" w:color="FFFFFF"/>
              <w:bottom w:val="single" w:sz="6" w:space="0" w:color="EEEEEE"/>
              <w:right w:val="nil"/>
            </w:tcBorders>
            <w:shd w:val="clear" w:color="auto" w:fill="EEEEEE"/>
            <w:vAlign w:val="center"/>
            <w:hideMark/>
          </w:tcPr>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2022</w:t>
            </w:r>
          </w:p>
        </w:tc>
      </w:tr>
      <w:tr w:rsidR="005B4F5A" w:rsidRPr="005B4F5A" w:rsidTr="005B4F5A">
        <w:trPr>
          <w:trHeight w:val="260"/>
          <w:jc w:val="center"/>
        </w:trPr>
        <w:tc>
          <w:tcPr>
            <w:tcW w:w="5620" w:type="dxa"/>
            <w:tcBorders>
              <w:top w:val="single" w:sz="6" w:space="0" w:color="FFFFFF"/>
              <w:left w:val="nil"/>
              <w:bottom w:val="single" w:sz="6" w:space="0" w:color="FFFFFF"/>
              <w:right w:val="single" w:sz="6" w:space="0" w:color="EEEEEE"/>
            </w:tcBorders>
            <w:shd w:val="clear" w:color="auto" w:fill="EEEEEE"/>
            <w:vAlign w:val="center"/>
            <w:hideMark/>
          </w:tcPr>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Produto Interno Bruto (PIB)</w:t>
            </w:r>
          </w:p>
        </w:tc>
        <w:tc>
          <w:tcPr>
            <w:tcW w:w="0" w:type="auto"/>
            <w:tcBorders>
              <w:top w:val="single" w:sz="6" w:space="0" w:color="EEEEEE"/>
              <w:left w:val="single" w:sz="6" w:space="0" w:color="EEEEEE"/>
              <w:bottom w:val="single" w:sz="6" w:space="0" w:color="EEEEEE"/>
              <w:right w:val="nil"/>
            </w:tcBorders>
            <w:vAlign w:val="center"/>
            <w:hideMark/>
          </w:tcPr>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0,50%</w:t>
            </w:r>
          </w:p>
        </w:tc>
      </w:tr>
      <w:tr w:rsidR="005B4F5A" w:rsidRPr="005B4F5A" w:rsidTr="005B4F5A">
        <w:trPr>
          <w:trHeight w:val="260"/>
          <w:jc w:val="center"/>
        </w:trPr>
        <w:tc>
          <w:tcPr>
            <w:tcW w:w="5620" w:type="dxa"/>
            <w:tcBorders>
              <w:top w:val="single" w:sz="6" w:space="0" w:color="FFFFFF"/>
              <w:left w:val="nil"/>
              <w:bottom w:val="single" w:sz="6" w:space="0" w:color="FFFFFF"/>
              <w:right w:val="single" w:sz="6" w:space="0" w:color="EEEEEE"/>
            </w:tcBorders>
            <w:shd w:val="clear" w:color="auto" w:fill="EEEEEE"/>
            <w:vAlign w:val="center"/>
            <w:hideMark/>
          </w:tcPr>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Inflação</w:t>
            </w:r>
          </w:p>
        </w:tc>
        <w:tc>
          <w:tcPr>
            <w:tcW w:w="0" w:type="auto"/>
            <w:tcBorders>
              <w:top w:val="single" w:sz="6" w:space="0" w:color="EEEEEE"/>
              <w:left w:val="single" w:sz="6" w:space="0" w:color="EEEEEE"/>
              <w:bottom w:val="single" w:sz="6" w:space="0" w:color="EEEEEE"/>
              <w:right w:val="nil"/>
            </w:tcBorders>
            <w:vAlign w:val="center"/>
            <w:hideMark/>
          </w:tcPr>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5,02%</w:t>
            </w:r>
          </w:p>
        </w:tc>
      </w:tr>
      <w:tr w:rsidR="005B4F5A" w:rsidRPr="005B4F5A" w:rsidTr="005B4F5A">
        <w:trPr>
          <w:trHeight w:val="275"/>
          <w:jc w:val="center"/>
        </w:trPr>
        <w:tc>
          <w:tcPr>
            <w:tcW w:w="5620" w:type="dxa"/>
            <w:tcBorders>
              <w:top w:val="single" w:sz="6" w:space="0" w:color="FFFFFF"/>
              <w:left w:val="nil"/>
              <w:bottom w:val="single" w:sz="6" w:space="0" w:color="FFFFFF"/>
              <w:right w:val="single" w:sz="6" w:space="0" w:color="EEEEEE"/>
            </w:tcBorders>
            <w:shd w:val="clear" w:color="auto" w:fill="EEEEEE"/>
            <w:vAlign w:val="center"/>
            <w:hideMark/>
          </w:tcPr>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Taxa básica de juros (Selic)</w:t>
            </w:r>
          </w:p>
        </w:tc>
        <w:tc>
          <w:tcPr>
            <w:tcW w:w="0" w:type="auto"/>
            <w:tcBorders>
              <w:top w:val="single" w:sz="6" w:space="0" w:color="EEEEEE"/>
              <w:left w:val="single" w:sz="6" w:space="0" w:color="EEEEEE"/>
              <w:bottom w:val="single" w:sz="6" w:space="0" w:color="EEEEEE"/>
              <w:right w:val="nil"/>
            </w:tcBorders>
            <w:vAlign w:val="center"/>
            <w:hideMark/>
          </w:tcPr>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11,50%</w:t>
            </w:r>
          </w:p>
        </w:tc>
      </w:tr>
      <w:tr w:rsidR="005B4F5A" w:rsidRPr="005B4F5A" w:rsidTr="005B4F5A">
        <w:trPr>
          <w:trHeight w:val="260"/>
          <w:jc w:val="center"/>
        </w:trPr>
        <w:tc>
          <w:tcPr>
            <w:tcW w:w="5620" w:type="dxa"/>
            <w:tcBorders>
              <w:top w:val="single" w:sz="6" w:space="0" w:color="FFFFFF"/>
              <w:left w:val="nil"/>
              <w:bottom w:val="single" w:sz="6" w:space="0" w:color="FFFFFF"/>
              <w:right w:val="single" w:sz="6" w:space="0" w:color="EEEEEE"/>
            </w:tcBorders>
            <w:shd w:val="clear" w:color="auto" w:fill="EEEEEE"/>
            <w:vAlign w:val="center"/>
            <w:hideMark/>
          </w:tcPr>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Dólar</w:t>
            </w:r>
          </w:p>
        </w:tc>
        <w:tc>
          <w:tcPr>
            <w:tcW w:w="0" w:type="auto"/>
            <w:tcBorders>
              <w:top w:val="single" w:sz="6" w:space="0" w:color="EEEEEE"/>
              <w:left w:val="single" w:sz="6" w:space="0" w:color="EEEEEE"/>
              <w:bottom w:val="single" w:sz="6" w:space="0" w:color="EEEEEE"/>
              <w:right w:val="nil"/>
            </w:tcBorders>
            <w:vAlign w:val="center"/>
            <w:hideMark/>
          </w:tcPr>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R$ 5,55</w:t>
            </w:r>
          </w:p>
        </w:tc>
      </w:tr>
      <w:tr w:rsidR="005B4F5A" w:rsidRPr="005B4F5A" w:rsidTr="005B4F5A">
        <w:trPr>
          <w:trHeight w:val="260"/>
          <w:jc w:val="center"/>
        </w:trPr>
        <w:tc>
          <w:tcPr>
            <w:tcW w:w="5620" w:type="dxa"/>
            <w:tcBorders>
              <w:top w:val="single" w:sz="6" w:space="0" w:color="FFFFFF"/>
              <w:left w:val="nil"/>
              <w:bottom w:val="single" w:sz="6" w:space="0" w:color="FFFFFF"/>
              <w:right w:val="single" w:sz="6" w:space="0" w:color="EEEEEE"/>
            </w:tcBorders>
            <w:shd w:val="clear" w:color="auto" w:fill="EEEEEE"/>
            <w:vAlign w:val="center"/>
            <w:hideMark/>
          </w:tcPr>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Balança comercial (saldo)</w:t>
            </w:r>
          </w:p>
        </w:tc>
        <w:tc>
          <w:tcPr>
            <w:tcW w:w="0" w:type="auto"/>
            <w:tcBorders>
              <w:top w:val="single" w:sz="6" w:space="0" w:color="EEEEEE"/>
              <w:left w:val="single" w:sz="6" w:space="0" w:color="EEEEEE"/>
              <w:bottom w:val="single" w:sz="6" w:space="0" w:color="EEEEEE"/>
              <w:right w:val="nil"/>
            </w:tcBorders>
            <w:vAlign w:val="center"/>
            <w:hideMark/>
          </w:tcPr>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US$ 55,80 bilhões</w:t>
            </w:r>
          </w:p>
        </w:tc>
      </w:tr>
      <w:tr w:rsidR="005B4F5A" w:rsidRPr="005B4F5A" w:rsidTr="005B4F5A">
        <w:trPr>
          <w:trHeight w:val="260"/>
          <w:jc w:val="center"/>
        </w:trPr>
        <w:tc>
          <w:tcPr>
            <w:tcW w:w="5620" w:type="dxa"/>
            <w:tcBorders>
              <w:top w:val="single" w:sz="6" w:space="0" w:color="FFFFFF"/>
              <w:left w:val="nil"/>
              <w:bottom w:val="nil"/>
              <w:right w:val="single" w:sz="6" w:space="0" w:color="EEEEEE"/>
            </w:tcBorders>
            <w:shd w:val="clear" w:color="auto" w:fill="EEEEEE"/>
            <w:vAlign w:val="center"/>
            <w:hideMark/>
          </w:tcPr>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Investimento estrangeiro direto</w:t>
            </w:r>
          </w:p>
        </w:tc>
        <w:tc>
          <w:tcPr>
            <w:tcW w:w="0" w:type="auto"/>
            <w:tcBorders>
              <w:top w:val="single" w:sz="6" w:space="0" w:color="EEEEEE"/>
              <w:left w:val="single" w:sz="6" w:space="0" w:color="EEEEEE"/>
              <w:bottom w:val="nil"/>
              <w:right w:val="nil"/>
            </w:tcBorders>
            <w:vAlign w:val="center"/>
            <w:hideMark/>
          </w:tcPr>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US$ 58,10 bilhões</w:t>
            </w:r>
          </w:p>
        </w:tc>
      </w:tr>
    </w:tbl>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 xml:space="preserve">           Fonte: Relatório Focus: 13/12/2021</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8"/>
        <w:gridCol w:w="1990"/>
      </w:tblGrid>
      <w:tr w:rsidR="005B4F5A" w:rsidRPr="005B4F5A" w:rsidTr="005B4F5A">
        <w:tc>
          <w:tcPr>
            <w:tcW w:w="7248" w:type="dxa"/>
            <w:shd w:val="clear" w:color="auto" w:fill="auto"/>
          </w:tcPr>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Índice de Referência (IPCA/INPC + 5,04% aa) – Expectativa 2022</w:t>
            </w:r>
          </w:p>
        </w:tc>
        <w:tc>
          <w:tcPr>
            <w:tcW w:w="1990" w:type="dxa"/>
            <w:shd w:val="clear" w:color="auto" w:fill="auto"/>
          </w:tcPr>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10,31% ao ano</w:t>
            </w:r>
          </w:p>
        </w:tc>
      </w:tr>
    </w:tbl>
    <w:p w:rsidR="005B4F5A" w:rsidRPr="005B4F5A" w:rsidRDefault="005B4F5A" w:rsidP="005B4F5A">
      <w:pPr>
        <w:autoSpaceDE w:val="0"/>
        <w:autoSpaceDN w:val="0"/>
        <w:adjustRightInd w:val="0"/>
        <w:spacing w:after="0" w:line="240" w:lineRule="auto"/>
        <w:rPr>
          <w:rFonts w:ascii="Tahoma,Bold" w:eastAsia="Calibri" w:hAnsi="Tahoma,Bold" w:cs="Tahoma,Bold"/>
          <w:b/>
          <w:bCs/>
          <w:sz w:val="10"/>
          <w:szCs w:val="10"/>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lastRenderedPageBreak/>
        <w:t xml:space="preserve">            O cenário macroeconômico tem por objetivo detalhar a projeção de variáveis macroeconômicas a partir da conjuntura atual e por intermédio de premissas e hipóteses condizentes com realidade econômica, a fim de prover às demais áreas da autarquia análises que contribuam para a condução dos processos de alocação e tomada de decisão de investimento.</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 xml:space="preserve">            As projeções dos principais indicadores econômicos são utilizadas para desenhar estes cenários, que também servirão como plano de fundo às análises e aos estudos, com intuito de informar aos gestores os principais impactos possíveis sobre os diversos mercados e, assim, tornar a tomada de decisão mais segura e eficiente.</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 xml:space="preserve">          O detalhamento dos cenários é parte integrante dos documentos sobre o estudo de macro alocação conduzidos pelo regime e integram o Anexo I deste documento.</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rPr>
          <w:rFonts w:ascii="Tahoma,Bold" w:eastAsia="Calibri" w:hAnsi="Tahoma,Bold" w:cs="Tahoma,Bold"/>
          <w:b/>
          <w:bCs/>
          <w:sz w:val="10"/>
          <w:szCs w:val="10"/>
          <w:lang w:eastAsia="en-US"/>
        </w:rPr>
      </w:pPr>
    </w:p>
    <w:p w:rsidR="005B4F5A" w:rsidRPr="005B4F5A" w:rsidRDefault="005B4F5A" w:rsidP="005B4F5A">
      <w:pPr>
        <w:autoSpaceDE w:val="0"/>
        <w:autoSpaceDN w:val="0"/>
        <w:adjustRightInd w:val="0"/>
        <w:spacing w:after="0" w:line="240" w:lineRule="auto"/>
        <w:rPr>
          <w:rFonts w:ascii="Calibri Light" w:eastAsia="Calibri" w:hAnsi="Calibri Light" w:cs="Tahoma,Bold"/>
          <w:b/>
          <w:bCs/>
          <w:sz w:val="24"/>
          <w:szCs w:val="24"/>
          <w:lang w:eastAsia="en-US"/>
        </w:rPr>
      </w:pPr>
      <w:r w:rsidRPr="005B4F5A">
        <w:rPr>
          <w:rFonts w:ascii="Calibri Light" w:eastAsia="Calibri" w:hAnsi="Calibri Light" w:cs="Tahoma,Bold"/>
          <w:b/>
          <w:bCs/>
          <w:sz w:val="24"/>
          <w:szCs w:val="24"/>
          <w:lang w:eastAsia="en-US"/>
        </w:rPr>
        <w:t>4. Diretrizes de Alocação dos Recursos</w:t>
      </w:r>
    </w:p>
    <w:p w:rsidR="005B4F5A" w:rsidRPr="005B4F5A" w:rsidRDefault="005B4F5A" w:rsidP="005B4F5A">
      <w:pPr>
        <w:autoSpaceDE w:val="0"/>
        <w:autoSpaceDN w:val="0"/>
        <w:adjustRightInd w:val="0"/>
        <w:spacing w:after="0" w:line="240" w:lineRule="auto"/>
        <w:contextualSpacing/>
        <w:rPr>
          <w:rFonts w:ascii="Calibri Light" w:eastAsia="Calibri" w:hAnsi="Calibri Light" w:cs="Tahoma,Bold"/>
          <w:b/>
          <w:bCs/>
          <w:sz w:val="10"/>
          <w:szCs w:val="10"/>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1) A gestão de recursos do Fundo com finalidade previdenciária poderá ser realizada através de gestão própria ou gestão por entidade credenciada, conforme disposto na Resolução CMN 4.963 de 25 de novembro de 2021;</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roofErr w:type="gramStart"/>
      <w:r w:rsidRPr="005B4F5A">
        <w:rPr>
          <w:rFonts w:ascii="Calibri Light" w:eastAsia="Calibri" w:hAnsi="Calibri Light" w:cs="Tahoma"/>
          <w:sz w:val="24"/>
          <w:szCs w:val="24"/>
          <w:lang w:eastAsia="en-US"/>
        </w:rPr>
        <w:t>2) Nas</w:t>
      </w:r>
      <w:proofErr w:type="gramEnd"/>
      <w:r w:rsidRPr="005B4F5A">
        <w:rPr>
          <w:rFonts w:ascii="Calibri Light" w:eastAsia="Calibri" w:hAnsi="Calibri Light" w:cs="Tahoma"/>
          <w:sz w:val="24"/>
          <w:szCs w:val="24"/>
          <w:lang w:eastAsia="en-US"/>
        </w:rPr>
        <w:t xml:space="preserve"> operações de compra ou venda de títulos públicos deverão ser observadas as informações divulgadas, diariamente, por entidades reconhecidamente idôneas pela sua transparência e elevado padrão técnico na difusão de preços e taxas dos títulos, para fins de utilização como referência em negociações no mercado financeiro, antes do efetivo fechamento da operação;</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roofErr w:type="gramStart"/>
      <w:r w:rsidRPr="005B4F5A">
        <w:rPr>
          <w:rFonts w:ascii="Calibri Light" w:eastAsia="Calibri" w:hAnsi="Calibri Light" w:cs="Tahoma"/>
          <w:sz w:val="24"/>
          <w:szCs w:val="24"/>
          <w:lang w:eastAsia="en-US"/>
        </w:rPr>
        <w:t>3) As</w:t>
      </w:r>
      <w:proofErr w:type="gramEnd"/>
      <w:r w:rsidRPr="005B4F5A">
        <w:rPr>
          <w:rFonts w:ascii="Calibri Light" w:eastAsia="Calibri" w:hAnsi="Calibri Light" w:cs="Tahoma"/>
          <w:sz w:val="24"/>
          <w:szCs w:val="24"/>
          <w:lang w:eastAsia="en-US"/>
        </w:rPr>
        <w:t xml:space="preserve"> operações de compra de títulos públicos deverão ser efetuadas através de leilões primários ou mercado secundário, desde que os preços praticados nestas operações observem como parâmetro o intervalo da marcação a mercado dos títulos públicos divulgados pela ANBIMA ou BACEN no dia das operações, que se refere aos preços praticados em mercado;</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roofErr w:type="gramStart"/>
      <w:r w:rsidRPr="005B4F5A">
        <w:rPr>
          <w:rFonts w:ascii="Calibri Light" w:eastAsia="Calibri" w:hAnsi="Calibri Light" w:cs="Tahoma"/>
          <w:sz w:val="24"/>
          <w:szCs w:val="24"/>
          <w:lang w:eastAsia="en-US"/>
        </w:rPr>
        <w:t>4) As</w:t>
      </w:r>
      <w:proofErr w:type="gramEnd"/>
      <w:r w:rsidRPr="005B4F5A">
        <w:rPr>
          <w:rFonts w:ascii="Calibri Light" w:eastAsia="Calibri" w:hAnsi="Calibri Light" w:cs="Tahoma"/>
          <w:sz w:val="24"/>
          <w:szCs w:val="24"/>
          <w:lang w:eastAsia="en-US"/>
        </w:rPr>
        <w:t xml:space="preserve"> operações de venda de títulos públicos deverão ser efetuadas através de mercado secundário e os preços praticados deverão observar como parâmetro o intervalo da marcação a mercado dos títulos públicos divulgado pela ANBIMA ou BACEN no dia das operações, que se refere aos preços praticados em mercado;</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roofErr w:type="gramStart"/>
      <w:r w:rsidRPr="005B4F5A">
        <w:rPr>
          <w:rFonts w:ascii="Calibri Light" w:eastAsia="Calibri" w:hAnsi="Calibri Light" w:cs="Tahoma"/>
          <w:sz w:val="24"/>
          <w:szCs w:val="24"/>
          <w:lang w:eastAsia="en-US"/>
        </w:rPr>
        <w:t>5) As</w:t>
      </w:r>
      <w:proofErr w:type="gramEnd"/>
      <w:r w:rsidRPr="005B4F5A">
        <w:rPr>
          <w:rFonts w:ascii="Calibri Light" w:eastAsia="Calibri" w:hAnsi="Calibri Light" w:cs="Tahoma"/>
          <w:sz w:val="24"/>
          <w:szCs w:val="24"/>
          <w:lang w:eastAsia="en-US"/>
        </w:rPr>
        <w:t xml:space="preserve"> aplicações em operações compromissadas serão realizadas com lastro em Títulos do Tesouro Nacional;</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roofErr w:type="gramStart"/>
      <w:r w:rsidRPr="005B4F5A">
        <w:rPr>
          <w:rFonts w:ascii="Calibri Light" w:eastAsia="Calibri" w:hAnsi="Calibri Light" w:cs="Tahoma"/>
          <w:sz w:val="24"/>
          <w:szCs w:val="24"/>
          <w:lang w:eastAsia="en-US"/>
        </w:rPr>
        <w:t>6) As</w:t>
      </w:r>
      <w:proofErr w:type="gramEnd"/>
      <w:r w:rsidRPr="005B4F5A">
        <w:rPr>
          <w:rFonts w:ascii="Calibri Light" w:eastAsia="Calibri" w:hAnsi="Calibri Light" w:cs="Tahoma"/>
          <w:sz w:val="24"/>
          <w:szCs w:val="24"/>
          <w:lang w:eastAsia="en-US"/>
        </w:rPr>
        <w:t xml:space="preserve"> aplicações em fundos de investimento deverão ocorrer mediante credenciamento da instituição financeira e a avaliação comparativa de produtos similares, devendo ser considerados critérios contemplando a segurança, rentabilidade, solvência e liquidez dessas Aplicações e das instituições, de forma a viabilizar a melhor escolha;</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roofErr w:type="gramStart"/>
      <w:r w:rsidRPr="005B4F5A">
        <w:rPr>
          <w:rFonts w:ascii="Calibri Light" w:eastAsia="Calibri" w:hAnsi="Calibri Light" w:cs="Tahoma"/>
          <w:sz w:val="24"/>
          <w:szCs w:val="24"/>
          <w:lang w:eastAsia="en-US"/>
        </w:rPr>
        <w:t>7) Os</w:t>
      </w:r>
      <w:proofErr w:type="gramEnd"/>
      <w:r w:rsidRPr="005B4F5A">
        <w:rPr>
          <w:rFonts w:ascii="Calibri Light" w:eastAsia="Calibri" w:hAnsi="Calibri Light" w:cs="Tahoma"/>
          <w:sz w:val="24"/>
          <w:szCs w:val="24"/>
          <w:lang w:eastAsia="en-US"/>
        </w:rPr>
        <w:t xml:space="preserve"> títulos e valores mobiliários integrantes dos diversos segmentos de aplicação dos recursos do Regime Próprio de Previdência Social devem ser registrados no Sistema Especial de Liquidação e Custódia (SELIC), em sistemas de registro e de liquidação financeira de ativos autorizados pelo Banco Central do Brasil e/ou mantidos em conta de depósito em instituição ou entidade autorizada à prestação desse serviço pela Comissão de Valores Mobiliários – CVM;</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 xml:space="preserve">8) Os títulos de emissão do Tesouro Nacional, registrados no Sistema Especial de Liquidação e Custódia (SELIC) deverão ser realizadas por meio de plataformas eletrônicas administradas por sistemas autorizados a funcionar pelo Banco Central do Brasil ou pela Comissão de Valores Mobiliários (CVM), </w:t>
      </w:r>
      <w:r w:rsidRPr="005B4F5A">
        <w:rPr>
          <w:rFonts w:ascii="Calibri Light" w:eastAsia="Calibri" w:hAnsi="Calibri Light" w:cs="Tahoma"/>
          <w:sz w:val="24"/>
          <w:szCs w:val="24"/>
          <w:lang w:eastAsia="en-US"/>
        </w:rPr>
        <w:lastRenderedPageBreak/>
        <w:t>nas suas respectivas áreas de competência, admitindo-se, ainda, aquisições em ofertas públicas do Tesouro Nacional por intermédio das instituições regularmente habilitadas, desde que possam ser devidamente comprovadas;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 xml:space="preserve">9) </w:t>
      </w:r>
      <w:proofErr w:type="gramStart"/>
      <w:r w:rsidRPr="005B4F5A">
        <w:rPr>
          <w:rFonts w:ascii="Calibri Light" w:eastAsia="Calibri" w:hAnsi="Calibri Light" w:cs="Tahoma"/>
          <w:sz w:val="24"/>
          <w:szCs w:val="24"/>
          <w:lang w:eastAsia="en-US"/>
        </w:rPr>
        <w:t xml:space="preserve"> As</w:t>
      </w:r>
      <w:proofErr w:type="gramEnd"/>
      <w:r w:rsidRPr="005B4F5A">
        <w:rPr>
          <w:rFonts w:ascii="Calibri Light" w:eastAsia="Calibri" w:hAnsi="Calibri Light" w:cs="Tahoma"/>
          <w:sz w:val="24"/>
          <w:szCs w:val="24"/>
          <w:lang w:eastAsia="en-US"/>
        </w:rPr>
        <w:t xml:space="preserve"> aplicações de recursos deverão privilegiar as aplicações com o binômio risco retorno mais adequado às necessidades de liquidez do fluxo de receitas e despesas projetadas;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roofErr w:type="gramStart"/>
      <w:r w:rsidRPr="005B4F5A">
        <w:rPr>
          <w:rFonts w:ascii="Calibri Light" w:eastAsia="Calibri" w:hAnsi="Calibri Light" w:cs="Tahoma"/>
          <w:sz w:val="24"/>
          <w:szCs w:val="24"/>
          <w:lang w:eastAsia="en-US"/>
        </w:rPr>
        <w:t>10) As</w:t>
      </w:r>
      <w:proofErr w:type="gramEnd"/>
      <w:r w:rsidRPr="005B4F5A">
        <w:rPr>
          <w:rFonts w:ascii="Calibri Light" w:eastAsia="Calibri" w:hAnsi="Calibri Light" w:cs="Tahoma"/>
          <w:sz w:val="24"/>
          <w:szCs w:val="24"/>
          <w:lang w:eastAsia="en-US"/>
        </w:rPr>
        <w:t xml:space="preserve"> aplicações em Fundos de Investimento em Direitos Creditórios – FIDC somente poderão ser efetuadas em produtos que apresentem, obrigatoriamente, dentre os sistemas de garantia e colateral oferecidos, o mecanismo de </w:t>
      </w:r>
      <w:r w:rsidRPr="005B4F5A">
        <w:rPr>
          <w:rFonts w:ascii="Calibri Light" w:eastAsia="Calibri" w:hAnsi="Calibri Light" w:cs="Tahoma,Bold"/>
          <w:b/>
          <w:bCs/>
          <w:sz w:val="24"/>
          <w:szCs w:val="24"/>
          <w:lang w:eastAsia="en-US"/>
        </w:rPr>
        <w:t xml:space="preserve">subordinação de quotas, </w:t>
      </w:r>
      <w:r w:rsidRPr="005B4F5A">
        <w:rPr>
          <w:rFonts w:ascii="Calibri Light" w:eastAsia="Calibri" w:hAnsi="Calibri Light" w:cs="Tahoma"/>
          <w:sz w:val="24"/>
          <w:szCs w:val="24"/>
          <w:lang w:eastAsia="en-US"/>
        </w:rPr>
        <w:t>isto é, emissão de quotas subordinadas garantidas pelo originador/cedente dos direitos creditórios.</w:t>
      </w:r>
    </w:p>
    <w:p w:rsidR="005B4F5A" w:rsidRPr="005B4F5A" w:rsidRDefault="005B4F5A" w:rsidP="005B4F5A">
      <w:pPr>
        <w:autoSpaceDE w:val="0"/>
        <w:autoSpaceDN w:val="0"/>
        <w:adjustRightInd w:val="0"/>
        <w:spacing w:after="0" w:line="240" w:lineRule="auto"/>
        <w:jc w:val="both"/>
        <w:rPr>
          <w:rFonts w:ascii="Tahoma" w:eastAsia="Calibri" w:hAnsi="Tahoma" w:cs="Tahoma"/>
          <w:sz w:val="24"/>
          <w:szCs w:val="24"/>
          <w:lang w:eastAsia="en-US"/>
        </w:rPr>
      </w:pPr>
      <w:proofErr w:type="gramStart"/>
      <w:r w:rsidRPr="005B4F5A">
        <w:rPr>
          <w:rFonts w:ascii="Calibri Light" w:eastAsia="Calibri" w:hAnsi="Calibri Light" w:cs="Tahoma"/>
          <w:sz w:val="24"/>
          <w:szCs w:val="24"/>
          <w:lang w:eastAsia="en-US"/>
        </w:rPr>
        <w:t>11) As</w:t>
      </w:r>
      <w:proofErr w:type="gramEnd"/>
      <w:r w:rsidRPr="005B4F5A">
        <w:rPr>
          <w:rFonts w:ascii="Calibri Light" w:eastAsia="Calibri" w:hAnsi="Calibri Light" w:cs="Tahoma"/>
          <w:sz w:val="24"/>
          <w:szCs w:val="24"/>
          <w:lang w:eastAsia="en-US"/>
        </w:rPr>
        <w:t xml:space="preserve"> aplicações de recursos deverão perseguir a rentabilidade real determinada pela Portaria SPREV nº 6.132, de 25 de maio de 2021 acrescida da variação do Índice de Preço ao Consumidor Amplo (IPCA) ou do Índice Nacional de Preços ao Consumidor (INPC), privilegiando as aplicações com o binômio risco-retorno mais adequado às necessidades de liquidez do fluxo de pagamentos de benefícios previdenciários e duração do passivo previdenciário.</w:t>
      </w:r>
    </w:p>
    <w:p w:rsidR="005B4F5A" w:rsidRPr="005B4F5A" w:rsidRDefault="005B4F5A" w:rsidP="005B4F5A">
      <w:pPr>
        <w:autoSpaceDE w:val="0"/>
        <w:autoSpaceDN w:val="0"/>
        <w:adjustRightInd w:val="0"/>
        <w:spacing w:after="0" w:line="240" w:lineRule="auto"/>
        <w:rPr>
          <w:rFonts w:ascii="Tahoma,Bold" w:eastAsia="Calibri" w:hAnsi="Tahoma,Bold" w:cs="Tahoma,Bold"/>
          <w:b/>
          <w:bCs/>
          <w:sz w:val="10"/>
          <w:szCs w:val="10"/>
          <w:lang w:eastAsia="en-US"/>
        </w:rPr>
      </w:pPr>
    </w:p>
    <w:p w:rsidR="005B4F5A" w:rsidRPr="005B4F5A" w:rsidRDefault="005B4F5A" w:rsidP="005B4F5A">
      <w:pPr>
        <w:autoSpaceDE w:val="0"/>
        <w:autoSpaceDN w:val="0"/>
        <w:adjustRightInd w:val="0"/>
        <w:spacing w:after="0" w:line="240" w:lineRule="auto"/>
        <w:rPr>
          <w:rFonts w:ascii="Tahoma,Bold" w:eastAsia="Calibri" w:hAnsi="Tahoma,Bold" w:cs="Tahoma,Bold"/>
          <w:b/>
          <w:bCs/>
          <w:sz w:val="10"/>
          <w:szCs w:val="10"/>
          <w:lang w:eastAsia="en-US"/>
        </w:rPr>
      </w:pPr>
    </w:p>
    <w:p w:rsidR="005B4F5A" w:rsidRPr="005B4F5A" w:rsidRDefault="005B4F5A" w:rsidP="005B4F5A">
      <w:pPr>
        <w:autoSpaceDE w:val="0"/>
        <w:autoSpaceDN w:val="0"/>
        <w:adjustRightInd w:val="0"/>
        <w:spacing w:after="0" w:line="240" w:lineRule="auto"/>
        <w:rPr>
          <w:rFonts w:ascii="Calibri" w:eastAsia="Calibri" w:hAnsi="Calibri" w:cs="Tahoma,Bold"/>
          <w:b/>
          <w:bCs/>
          <w:sz w:val="10"/>
          <w:szCs w:val="10"/>
          <w:lang w:eastAsia="en-US"/>
        </w:rPr>
      </w:pPr>
    </w:p>
    <w:p w:rsidR="005B4F5A" w:rsidRPr="005B4F5A" w:rsidRDefault="005B4F5A" w:rsidP="005B4F5A">
      <w:pPr>
        <w:autoSpaceDE w:val="0"/>
        <w:autoSpaceDN w:val="0"/>
        <w:adjustRightInd w:val="0"/>
        <w:spacing w:after="0" w:line="240" w:lineRule="auto"/>
        <w:jc w:val="center"/>
        <w:rPr>
          <w:rFonts w:ascii="Calibri" w:eastAsia="Calibri" w:hAnsi="Calibri" w:cs="Tahoma,Bold"/>
          <w:b/>
          <w:bCs/>
          <w:sz w:val="24"/>
          <w:szCs w:val="24"/>
          <w:lang w:eastAsia="en-US"/>
        </w:rPr>
      </w:pPr>
    </w:p>
    <w:p w:rsidR="005B4F5A" w:rsidRPr="005B4F5A" w:rsidRDefault="005B4F5A" w:rsidP="005B4F5A">
      <w:pPr>
        <w:autoSpaceDE w:val="0"/>
        <w:autoSpaceDN w:val="0"/>
        <w:adjustRightInd w:val="0"/>
        <w:spacing w:after="0" w:line="240" w:lineRule="auto"/>
        <w:jc w:val="center"/>
        <w:rPr>
          <w:rFonts w:ascii="Calibri" w:eastAsia="Calibri" w:hAnsi="Calibri" w:cs="Tahoma,Bold"/>
          <w:b/>
          <w:bCs/>
          <w:sz w:val="24"/>
          <w:szCs w:val="24"/>
          <w:lang w:eastAsia="en-US"/>
        </w:rPr>
      </w:pPr>
      <w:r w:rsidRPr="005B4F5A">
        <w:rPr>
          <w:rFonts w:ascii="Calibri" w:eastAsia="Calibri" w:hAnsi="Calibri" w:cs="Tahoma,Bold"/>
          <w:b/>
          <w:bCs/>
          <w:sz w:val="24"/>
          <w:szCs w:val="24"/>
          <w:lang w:eastAsia="en-US"/>
        </w:rPr>
        <w:t xml:space="preserve">Portaria SPREV </w:t>
      </w:r>
      <w:r w:rsidRPr="005B4F5A">
        <w:rPr>
          <w:rFonts w:ascii="Calibri Light" w:eastAsia="Calibri" w:hAnsi="Calibri Light" w:cs="Tahoma"/>
          <w:b/>
          <w:sz w:val="24"/>
          <w:szCs w:val="24"/>
          <w:lang w:eastAsia="en-US"/>
        </w:rPr>
        <w:t>Nº</w:t>
      </w:r>
      <w:r w:rsidRPr="005B4F5A">
        <w:rPr>
          <w:rFonts w:ascii="Calibri" w:eastAsia="Calibri" w:hAnsi="Calibri" w:cs="Tahoma,Bold"/>
          <w:b/>
          <w:bCs/>
          <w:sz w:val="24"/>
          <w:szCs w:val="24"/>
          <w:lang w:eastAsia="en-US"/>
        </w:rPr>
        <w:t xml:space="preserve"> 6.132, de 25 de maio de 2021</w:t>
      </w:r>
    </w:p>
    <w:p w:rsidR="005B4F5A" w:rsidRPr="005B4F5A" w:rsidRDefault="005B4F5A" w:rsidP="005B4F5A">
      <w:pPr>
        <w:autoSpaceDE w:val="0"/>
        <w:autoSpaceDN w:val="0"/>
        <w:adjustRightInd w:val="0"/>
        <w:spacing w:after="0" w:line="240" w:lineRule="auto"/>
        <w:jc w:val="center"/>
        <w:rPr>
          <w:rFonts w:ascii="Calibri" w:eastAsia="Calibri" w:hAnsi="Calibri" w:cs="Tahoma,Bold"/>
          <w:b/>
          <w:bCs/>
          <w:sz w:val="24"/>
          <w:szCs w:val="24"/>
          <w:lang w:eastAsia="en-US"/>
        </w:rPr>
      </w:pPr>
    </w:p>
    <w:tbl>
      <w:tblPr>
        <w:tblStyle w:val="Tabelacomgrade1"/>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2"/>
        <w:gridCol w:w="6374"/>
      </w:tblGrid>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
                <w:bCs/>
                <w:sz w:val="24"/>
                <w:szCs w:val="24"/>
              </w:rPr>
            </w:pPr>
            <w:r w:rsidRPr="005B4F5A">
              <w:rPr>
                <w:rFonts w:ascii="Calibri" w:hAnsi="Calibri" w:cs="Tahoma,Bold"/>
                <w:b/>
                <w:bCs/>
                <w:sz w:val="24"/>
                <w:szCs w:val="24"/>
              </w:rPr>
              <w:t>Duração do Passivo (anos)</w:t>
            </w:r>
          </w:p>
        </w:tc>
        <w:tc>
          <w:tcPr>
            <w:tcW w:w="6374" w:type="dxa"/>
          </w:tcPr>
          <w:p w:rsidR="005B4F5A" w:rsidRPr="005B4F5A" w:rsidRDefault="005B4F5A" w:rsidP="005B4F5A">
            <w:pPr>
              <w:autoSpaceDE w:val="0"/>
              <w:autoSpaceDN w:val="0"/>
              <w:adjustRightInd w:val="0"/>
              <w:spacing w:after="200"/>
              <w:jc w:val="center"/>
              <w:rPr>
                <w:rFonts w:ascii="Calibri" w:hAnsi="Calibri" w:cs="Tahoma,Bold"/>
                <w:b/>
                <w:bCs/>
                <w:sz w:val="24"/>
                <w:szCs w:val="24"/>
              </w:rPr>
            </w:pPr>
            <w:r w:rsidRPr="005B4F5A">
              <w:rPr>
                <w:rFonts w:ascii="Calibri" w:hAnsi="Calibri" w:cs="Tahoma,Bold"/>
                <w:b/>
                <w:bCs/>
                <w:sz w:val="24"/>
                <w:szCs w:val="24"/>
              </w:rPr>
              <w:t xml:space="preserve">Taxa de Juro REAL (% </w:t>
            </w:r>
            <w:proofErr w:type="spellStart"/>
            <w:r w:rsidRPr="005B4F5A">
              <w:rPr>
                <w:rFonts w:ascii="Calibri" w:hAnsi="Calibri" w:cs="Tahoma,Bold"/>
                <w:b/>
                <w:bCs/>
                <w:sz w:val="24"/>
                <w:szCs w:val="24"/>
              </w:rPr>
              <w:t>a.a</w:t>
            </w:r>
            <w:proofErr w:type="spellEnd"/>
            <w:r w:rsidRPr="005B4F5A">
              <w:rPr>
                <w:rFonts w:ascii="Calibri" w:hAnsi="Calibri" w:cs="Tahoma,Bold"/>
                <w:b/>
                <w:bCs/>
                <w:sz w:val="24"/>
                <w:szCs w:val="24"/>
              </w:rPr>
              <w:t>)</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1,00</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2,60</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5,00</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4,24</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10</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4,66</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15</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4,83</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20</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4,91</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20,50</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4,92</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21</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4,93</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21,50</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4,93</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22</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4,94</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22,50</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4,94</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23</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4,95</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lastRenderedPageBreak/>
              <w:t>23,5</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4,95</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24</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4,96</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24,50</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4,96</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25</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4,97</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25,50</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4,97</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26</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4,97</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26,50</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4,98</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27</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4,98</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27,50</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4,99</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28</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4,99</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28,50</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4,99</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29</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4,99</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29,50</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5,00</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30</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5,00</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31,50</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5,00</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32</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5,01</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32,50</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5,01</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33</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5,01</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33,50</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5,02</w:t>
            </w:r>
          </w:p>
        </w:tc>
      </w:tr>
      <w:tr w:rsidR="005B4F5A" w:rsidRPr="005B4F5A" w:rsidTr="005B4F5A">
        <w:trPr>
          <w:jc w:val="center"/>
        </w:trPr>
        <w:tc>
          <w:tcPr>
            <w:tcW w:w="2972"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34,0 ou mais</w:t>
            </w:r>
          </w:p>
        </w:tc>
        <w:tc>
          <w:tcPr>
            <w:tcW w:w="6374" w:type="dxa"/>
          </w:tcPr>
          <w:p w:rsidR="005B4F5A" w:rsidRPr="005B4F5A" w:rsidRDefault="005B4F5A" w:rsidP="005B4F5A">
            <w:pPr>
              <w:autoSpaceDE w:val="0"/>
              <w:autoSpaceDN w:val="0"/>
              <w:adjustRightInd w:val="0"/>
              <w:spacing w:after="200"/>
              <w:jc w:val="center"/>
              <w:rPr>
                <w:rFonts w:ascii="Calibri" w:hAnsi="Calibri" w:cs="Tahoma,Bold"/>
                <w:bCs/>
                <w:sz w:val="24"/>
                <w:szCs w:val="24"/>
              </w:rPr>
            </w:pPr>
            <w:r w:rsidRPr="005B4F5A">
              <w:rPr>
                <w:rFonts w:ascii="Calibri" w:hAnsi="Calibri" w:cs="Tahoma,Bold"/>
                <w:bCs/>
                <w:sz w:val="24"/>
                <w:szCs w:val="24"/>
              </w:rPr>
              <w:t>5,04</w:t>
            </w:r>
          </w:p>
        </w:tc>
      </w:tr>
    </w:tbl>
    <w:p w:rsidR="005B4F5A" w:rsidRPr="005B4F5A" w:rsidRDefault="005B4F5A" w:rsidP="005B4F5A">
      <w:pPr>
        <w:autoSpaceDE w:val="0"/>
        <w:autoSpaceDN w:val="0"/>
        <w:adjustRightInd w:val="0"/>
        <w:spacing w:after="0" w:line="240" w:lineRule="auto"/>
        <w:jc w:val="center"/>
        <w:rPr>
          <w:rFonts w:ascii="Calibri" w:eastAsia="Calibri" w:hAnsi="Calibri" w:cs="Tahoma,Bold"/>
          <w:b/>
          <w:bCs/>
          <w:sz w:val="24"/>
          <w:szCs w:val="24"/>
          <w:lang w:eastAsia="en-US"/>
        </w:rPr>
      </w:pPr>
    </w:p>
    <w:p w:rsidR="005B4F5A" w:rsidRPr="005B4F5A" w:rsidRDefault="005B4F5A" w:rsidP="005B4F5A">
      <w:pPr>
        <w:autoSpaceDE w:val="0"/>
        <w:autoSpaceDN w:val="0"/>
        <w:adjustRightInd w:val="0"/>
        <w:spacing w:after="0" w:line="240" w:lineRule="auto"/>
        <w:jc w:val="center"/>
        <w:rPr>
          <w:rFonts w:ascii="Calibri" w:eastAsia="Calibri" w:hAnsi="Calibri" w:cs="Tahoma,Bold"/>
          <w:b/>
          <w:bCs/>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24"/>
          <w:szCs w:val="24"/>
          <w:lang w:eastAsia="en-US"/>
        </w:rPr>
      </w:pPr>
      <w:r w:rsidRPr="005B4F5A">
        <w:rPr>
          <w:rFonts w:ascii="Calibri Light" w:eastAsia="Calibri" w:hAnsi="Calibri Light" w:cs="Tahoma,Bold"/>
          <w:b/>
          <w:bCs/>
          <w:sz w:val="24"/>
          <w:szCs w:val="24"/>
          <w:lang w:eastAsia="en-US"/>
        </w:rPr>
        <w:t>4.1 Segmentos de Aplicação</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Esta política de investimentos se refere à alocação dos recursos da entidade entre e em cada um dos seguintes segmentos de aplicação, conforme definidos na legislação:</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a) Renda Fixa</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b) Renda Variável</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c) Investimentos no Exterior</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d) Investimentos Estruturados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e) Fundos Imobiliários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f)  Empréstimos Consignados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8"/>
          <w:szCs w:val="8"/>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24"/>
          <w:szCs w:val="24"/>
          <w:lang w:eastAsia="en-US"/>
        </w:rPr>
      </w:pPr>
      <w:r w:rsidRPr="005B4F5A">
        <w:rPr>
          <w:rFonts w:ascii="Calibri Light" w:eastAsia="Calibri" w:hAnsi="Calibri Light" w:cs="Tahoma,Bold"/>
          <w:b/>
          <w:bCs/>
          <w:sz w:val="24"/>
          <w:szCs w:val="24"/>
          <w:lang w:eastAsia="en-US"/>
        </w:rPr>
        <w:t>4.2 Objetivos da Gestão da Alocação</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A gestão da alocação entre os Segmentos tem o objetivo de garantir o equilíbrio de longo prazo entre os ativos e as obrigações do RPPS, através da superação da taxa da meta atuarial (TMA), que é igual à variação do índice de inflação. Além disso, ela complementa a alocação estratégica, fazendo as alterações necessárias para adaptar a alocação de ativos às mudanças no mercado financeiro.</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lang w:eastAsia="en-US"/>
        </w:rPr>
        <w:t>As aplicações dos recursos dos RPPS poderão ter gestão própria, por entidade credenciada ou mista. Considerando os critérios estabelecidos pela legislação vigente a entidade credenciada deverá ter, no mínimo, solidez patrimonial, volume de recursos e experiência positiva no exercício da atividade de administração de recursos de terceiros.</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10"/>
          <w:szCs w:val="10"/>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24"/>
          <w:szCs w:val="24"/>
          <w:lang w:eastAsia="en-US"/>
        </w:rPr>
      </w:pPr>
      <w:r w:rsidRPr="005B4F5A">
        <w:rPr>
          <w:rFonts w:ascii="Calibri Light" w:eastAsia="Calibri" w:hAnsi="Calibri Light" w:cs="Tahoma,Bold"/>
          <w:b/>
          <w:bCs/>
          <w:sz w:val="24"/>
          <w:szCs w:val="24"/>
          <w:lang w:eastAsia="en-US"/>
        </w:rPr>
        <w:t>4.3 Faixas de Alocação de Recursos</w:t>
      </w:r>
    </w:p>
    <w:p w:rsidR="005B4F5A" w:rsidRPr="005B4F5A" w:rsidRDefault="005B4F5A" w:rsidP="005B4F5A">
      <w:pPr>
        <w:autoSpaceDE w:val="0"/>
        <w:autoSpaceDN w:val="0"/>
        <w:adjustRightInd w:val="0"/>
        <w:spacing w:after="0" w:line="240" w:lineRule="auto"/>
        <w:rPr>
          <w:rFonts w:ascii="Calibri Light" w:eastAsia="Calibri" w:hAnsi="Calibri Light" w:cs="Tahoma,Bold"/>
          <w:b/>
          <w:bCs/>
          <w:sz w:val="24"/>
          <w:szCs w:val="24"/>
          <w:lang w:eastAsia="en-US"/>
        </w:rPr>
      </w:pPr>
      <w:r w:rsidRPr="005B4F5A">
        <w:rPr>
          <w:rFonts w:ascii="Calibri Light" w:eastAsia="Calibri" w:hAnsi="Calibri Light" w:cs="Tahoma,Bold"/>
          <w:b/>
          <w:bCs/>
          <w:sz w:val="24"/>
          <w:szCs w:val="24"/>
          <w:lang w:eastAsia="en-US"/>
        </w:rPr>
        <w:t>4.3.1. Segmento de Renda Fixa:</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As aplicações dos recursos do Fundo Previdenciário de Muriaé – Muriaé-</w:t>
      </w:r>
      <w:proofErr w:type="spellStart"/>
      <w:r w:rsidRPr="005B4F5A">
        <w:rPr>
          <w:rFonts w:ascii="Calibri Light" w:eastAsia="Calibri" w:hAnsi="Calibri Light" w:cs="Tahoma"/>
          <w:sz w:val="24"/>
          <w:szCs w:val="24"/>
          <w:lang w:eastAsia="en-US"/>
        </w:rPr>
        <w:t>Prev</w:t>
      </w:r>
      <w:proofErr w:type="spellEnd"/>
      <w:r w:rsidRPr="005B4F5A">
        <w:rPr>
          <w:rFonts w:ascii="Calibri Light" w:eastAsia="Calibri" w:hAnsi="Calibri Light" w:cs="Tahoma"/>
          <w:sz w:val="24"/>
          <w:szCs w:val="24"/>
          <w:lang w:eastAsia="en-US"/>
        </w:rPr>
        <w:t xml:space="preserve"> em ativos de renda fixa poderão ser feitas por meio de carteira própria, fundos de investimentos ou produtos de investimento. Os fundos de investimentos abertos e/ou fechados, nos quais o RPPS vier a adquirir cotas, deverão seguir a legislação em vigor dos RPPS.</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10"/>
          <w:szCs w:val="10"/>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24"/>
          <w:szCs w:val="24"/>
          <w:lang w:eastAsia="en-US"/>
        </w:rPr>
      </w:pPr>
      <w:r w:rsidRPr="005B4F5A">
        <w:rPr>
          <w:rFonts w:ascii="Calibri Light" w:eastAsia="Calibri" w:hAnsi="Calibri Light" w:cs="Tahoma,Bold"/>
          <w:b/>
          <w:bCs/>
          <w:sz w:val="24"/>
          <w:szCs w:val="24"/>
          <w:lang w:eastAsia="en-US"/>
        </w:rPr>
        <w:t>4.3.2. Segmento de Renda Variável:</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As aplicações dos recursos do RPPS em ativos de renda variável poderão ser feitas por meio de fundos de investimentos.</w:t>
      </w:r>
    </w:p>
    <w:p w:rsidR="005B4F5A" w:rsidRPr="005B4F5A" w:rsidRDefault="005B4F5A" w:rsidP="005B4F5A">
      <w:pPr>
        <w:autoSpaceDE w:val="0"/>
        <w:autoSpaceDN w:val="0"/>
        <w:adjustRightInd w:val="0"/>
        <w:spacing w:after="0" w:line="240" w:lineRule="auto"/>
        <w:rPr>
          <w:rFonts w:ascii="Calibri Light" w:eastAsia="Calibri" w:hAnsi="Calibri Light" w:cs="Tahoma,Bold"/>
          <w:b/>
          <w:bCs/>
          <w:sz w:val="10"/>
          <w:szCs w:val="10"/>
          <w:lang w:eastAsia="en-US"/>
        </w:rPr>
      </w:pPr>
    </w:p>
    <w:p w:rsidR="005B4F5A" w:rsidRPr="005B4F5A" w:rsidRDefault="005B4F5A" w:rsidP="005B4F5A">
      <w:pPr>
        <w:autoSpaceDE w:val="0"/>
        <w:autoSpaceDN w:val="0"/>
        <w:adjustRightInd w:val="0"/>
        <w:spacing w:after="0" w:line="240" w:lineRule="auto"/>
        <w:rPr>
          <w:rFonts w:ascii="Calibri Light" w:eastAsia="Calibri" w:hAnsi="Calibri Light" w:cs="Tahoma,Bold"/>
          <w:b/>
          <w:bCs/>
          <w:sz w:val="24"/>
          <w:szCs w:val="24"/>
          <w:lang w:eastAsia="en-US"/>
        </w:rPr>
      </w:pPr>
      <w:r w:rsidRPr="005B4F5A">
        <w:rPr>
          <w:rFonts w:ascii="Calibri Light" w:eastAsia="Calibri" w:hAnsi="Calibri Light" w:cs="Tahoma,Bold"/>
          <w:b/>
          <w:bCs/>
          <w:sz w:val="24"/>
          <w:szCs w:val="24"/>
          <w:lang w:eastAsia="en-US"/>
        </w:rPr>
        <w:t>4.3.3. Segmento de Investimentos no Exterior:</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As aplicações dos recursos do RPPS em ativos no exterior poderão ser feitas por meio de fundos de investimentos.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rPr>
          <w:rFonts w:ascii="Calibri Light" w:eastAsia="Calibri" w:hAnsi="Calibri Light" w:cs="Tahoma,Bold"/>
          <w:b/>
          <w:bCs/>
          <w:sz w:val="24"/>
          <w:szCs w:val="24"/>
          <w:lang w:eastAsia="en-US"/>
        </w:rPr>
      </w:pPr>
      <w:r w:rsidRPr="005B4F5A">
        <w:rPr>
          <w:rFonts w:ascii="Calibri Light" w:eastAsia="Calibri" w:hAnsi="Calibri Light" w:cs="Tahoma,Bold"/>
          <w:b/>
          <w:bCs/>
          <w:sz w:val="24"/>
          <w:szCs w:val="24"/>
          <w:lang w:eastAsia="en-US"/>
        </w:rPr>
        <w:t>4.3.4. Segmento de Investimentos Estruturados: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As aplicações dos recursos do RPPS em ativos de renda variável poderão ser feitas por meio de fundos de investimentos.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b/>
          <w:bCs/>
          <w:sz w:val="24"/>
          <w:szCs w:val="24"/>
          <w:lang w:eastAsia="en-US"/>
        </w:rPr>
      </w:pPr>
      <w:r w:rsidRPr="005B4F5A">
        <w:rPr>
          <w:rFonts w:ascii="Calibri Light" w:eastAsia="Calibri" w:hAnsi="Calibri Light" w:cs="Tahoma"/>
          <w:b/>
          <w:bCs/>
          <w:sz w:val="24"/>
          <w:szCs w:val="24"/>
          <w:lang w:eastAsia="en-US"/>
        </w:rPr>
        <w:t>4.3.5. Segmento de Fundos Imobiliários: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As aplicações dos recursos do RPPS poderão ser feitas em cotas de fundos de investimento imobiliários (FII) negociadas nos pregões de bolsa de valores.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b/>
          <w:bCs/>
          <w:sz w:val="24"/>
          <w:szCs w:val="24"/>
          <w:lang w:eastAsia="en-US"/>
        </w:rPr>
      </w:pPr>
      <w:r w:rsidRPr="005B4F5A">
        <w:rPr>
          <w:rFonts w:ascii="Calibri Light" w:eastAsia="Calibri" w:hAnsi="Calibri Light" w:cs="Tahoma"/>
          <w:b/>
          <w:bCs/>
          <w:sz w:val="24"/>
          <w:szCs w:val="24"/>
          <w:lang w:eastAsia="en-US"/>
        </w:rPr>
        <w:t>4.3.6 Empréstimos Consignados: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A Secretaria de Previdência, nos termos do art. 29 da Resolução CMN 4.963/21, editará as regulamentações procedimentais para o cumprimento do disposto neste artigo, para garantir a observância dos princípios previstos no art. 1º da referida Resolução.</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24"/>
          <w:szCs w:val="24"/>
          <w:lang w:eastAsia="en-US"/>
        </w:rPr>
      </w:pPr>
      <w:r w:rsidRPr="005B4F5A">
        <w:rPr>
          <w:rFonts w:ascii="Calibri Light" w:eastAsia="Calibri" w:hAnsi="Calibri Light" w:cs="Tahoma,Bold"/>
          <w:b/>
          <w:bCs/>
          <w:sz w:val="24"/>
          <w:szCs w:val="24"/>
          <w:lang w:eastAsia="en-US"/>
        </w:rPr>
        <w:t>4.4. Metodologia de Gestão da Alocação</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10"/>
          <w:szCs w:val="10"/>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A definição estratégica da alocação de recursos nos segmentos acima identificados foi feita com base nas expectativas de retorno de cada segmento de ativos para os próximos 12 meses, em cenários alternativos.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10"/>
          <w:szCs w:val="10"/>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Os cenários de investimento são traçados a partir das perspectivas para o quadro nacional e internacional, da análise do panorama político e da visão para a condução da política econômica e do comportamento das principais variáveis econômicas.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10"/>
          <w:szCs w:val="10"/>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Para as estratégias de curto prazo, a análise se concentra na aversão a risco dos RPPS, em eventos específicos do quadro político e nas projeções para inflação, taxa de juros, atividade econômica e contas externas. A visão de médio prazo procura dar maior peso às perspectivas para o crescimento da economia brasileira e mundial, para a situação geopolítica global, para a estabilidade do cenário político e para a solidez na condução da política econômica.</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10"/>
          <w:szCs w:val="10"/>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Dadas tais expectativas de retorno dos diversos ativos em cada um dos cenários alternativos, a variável chave para a decisão de alocação é a probabilidade de satisfação da meta atuarial no período de 12 meses, aliada à avaliação qualitativa do cenário de curto prazo.</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10"/>
          <w:szCs w:val="10"/>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24"/>
          <w:szCs w:val="24"/>
          <w:lang w:eastAsia="en-US"/>
        </w:rPr>
      </w:pPr>
      <w:r w:rsidRPr="005B4F5A">
        <w:rPr>
          <w:rFonts w:ascii="Calibri Light" w:eastAsia="Calibri" w:hAnsi="Calibri Light" w:cs="Tahoma,Bold"/>
          <w:b/>
          <w:bCs/>
          <w:sz w:val="24"/>
          <w:szCs w:val="24"/>
          <w:lang w:eastAsia="en-US"/>
        </w:rPr>
        <w:t>5. Diretrizes para Gestão dos Segmentos</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8"/>
          <w:szCs w:val="8"/>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24"/>
          <w:szCs w:val="24"/>
          <w:lang w:eastAsia="en-US"/>
        </w:rPr>
      </w:pPr>
      <w:r w:rsidRPr="005B4F5A">
        <w:rPr>
          <w:rFonts w:ascii="Calibri Light" w:eastAsia="Calibri" w:hAnsi="Calibri Light" w:cs="Tahoma,Bold"/>
          <w:b/>
          <w:bCs/>
          <w:sz w:val="24"/>
          <w:szCs w:val="24"/>
          <w:lang w:eastAsia="en-US"/>
        </w:rPr>
        <w:t>5.1 Metodologias de Seleção dos Investimentos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As estratégias e carteiras dos segmentos de Renda Fixa e Renda Variável serão definidas, periodicamente, pelo (s) gestor (es) externo (s), no caso dos recursos geridos por meio de aplicação em Fundos e/ou carteiras administradas, e pela Diretoria Executiva, no caso da carteira própria. Ressalte-se que as informações utilizadas para a construção dos cenários e modelos são obtidas de fontes públicas (bases de dados públicas e de consultorias).</w:t>
      </w:r>
    </w:p>
    <w:p w:rsidR="005B4F5A" w:rsidRPr="005B4F5A" w:rsidRDefault="005B4F5A" w:rsidP="005B4F5A">
      <w:pPr>
        <w:autoSpaceDE w:val="0"/>
        <w:autoSpaceDN w:val="0"/>
        <w:adjustRightInd w:val="0"/>
        <w:spacing w:after="0" w:line="240" w:lineRule="auto"/>
        <w:jc w:val="both"/>
        <w:rPr>
          <w:rFonts w:ascii="Calibri Light" w:eastAsia="Calibri" w:hAnsi="Calibri Light" w:cs="Times New Roman"/>
          <w:sz w:val="10"/>
          <w:szCs w:val="10"/>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24"/>
          <w:szCs w:val="24"/>
          <w:lang w:eastAsia="en-US"/>
        </w:rPr>
      </w:pPr>
      <w:r w:rsidRPr="005B4F5A">
        <w:rPr>
          <w:rFonts w:ascii="Tahoma,Bold" w:eastAsia="Calibri" w:hAnsi="Tahoma,Bold" w:cs="Tahoma,Bold"/>
          <w:b/>
          <w:bCs/>
          <w:sz w:val="24"/>
          <w:szCs w:val="24"/>
          <w:lang w:eastAsia="en-US"/>
        </w:rPr>
        <w:t>5</w:t>
      </w:r>
      <w:r w:rsidRPr="005B4F5A">
        <w:rPr>
          <w:rFonts w:ascii="Calibri Light" w:eastAsia="Calibri" w:hAnsi="Calibri Light" w:cs="Tahoma,Bold"/>
          <w:b/>
          <w:bCs/>
          <w:sz w:val="24"/>
          <w:szCs w:val="24"/>
          <w:lang w:eastAsia="en-US"/>
        </w:rPr>
        <w:t>.2. Segmentos de Renda Fixa</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24"/>
          <w:szCs w:val="24"/>
          <w:lang w:eastAsia="en-US"/>
        </w:rPr>
      </w:pPr>
      <w:r w:rsidRPr="005B4F5A">
        <w:rPr>
          <w:rFonts w:ascii="Calibri Light" w:eastAsia="Calibri" w:hAnsi="Calibri Light" w:cs="Tahoma,Bold"/>
          <w:b/>
          <w:bCs/>
          <w:sz w:val="24"/>
          <w:szCs w:val="24"/>
          <w:lang w:eastAsia="en-US"/>
        </w:rPr>
        <w:t>5.2.1. Tipo de Gestão</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O Fundo Previdenciário de Muriaé – Muriaé-</w:t>
      </w:r>
      <w:proofErr w:type="spellStart"/>
      <w:r w:rsidRPr="005B4F5A">
        <w:rPr>
          <w:rFonts w:ascii="Calibri Light" w:eastAsia="Calibri" w:hAnsi="Calibri Light" w:cs="Tahoma"/>
          <w:sz w:val="24"/>
          <w:szCs w:val="24"/>
          <w:lang w:eastAsia="en-US"/>
        </w:rPr>
        <w:t>Prev</w:t>
      </w:r>
      <w:proofErr w:type="spellEnd"/>
      <w:r w:rsidRPr="005B4F5A">
        <w:rPr>
          <w:rFonts w:ascii="Calibri Light" w:eastAsia="Calibri" w:hAnsi="Calibri Light" w:cs="Tahoma"/>
          <w:sz w:val="24"/>
          <w:szCs w:val="24"/>
          <w:lang w:eastAsia="en-US"/>
        </w:rPr>
        <w:t xml:space="preserve"> optou por uma gestão com perfil conservador a moderado, buscando prêmios em relação ao </w:t>
      </w:r>
      <w:r w:rsidRPr="005B4F5A">
        <w:rPr>
          <w:rFonts w:ascii="Calibri Light" w:eastAsia="Calibri" w:hAnsi="Calibri Light" w:cs="Tahoma"/>
          <w:sz w:val="25"/>
          <w:szCs w:val="25"/>
          <w:lang w:eastAsia="en-US"/>
        </w:rPr>
        <w:t xml:space="preserve">benchmark </w:t>
      </w:r>
      <w:r w:rsidRPr="005B4F5A">
        <w:rPr>
          <w:rFonts w:ascii="Calibri Light" w:eastAsia="Calibri" w:hAnsi="Calibri Light" w:cs="Tahoma"/>
          <w:sz w:val="24"/>
          <w:szCs w:val="24"/>
          <w:lang w:eastAsia="en-US"/>
        </w:rPr>
        <w:t>adotado para a carteira.</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6"/>
          <w:szCs w:val="6"/>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24"/>
          <w:szCs w:val="24"/>
          <w:lang w:eastAsia="en-US"/>
        </w:rPr>
      </w:pPr>
      <w:r w:rsidRPr="005B4F5A">
        <w:rPr>
          <w:rFonts w:ascii="Calibri Light" w:eastAsia="Calibri" w:hAnsi="Calibri Light" w:cs="Tahoma,Bold"/>
          <w:b/>
          <w:bCs/>
          <w:sz w:val="24"/>
          <w:szCs w:val="24"/>
          <w:lang w:eastAsia="en-US"/>
        </w:rPr>
        <w:t>5.2.2. Ativos Autorizados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Nos diversos segmentos de aplicação, estão autorizados todos os ativos permitidos pela legislação vigente. A alocação dos recursos dos planos de benefícios do RPPS deverá restringir-se aos seguintes ativos e limites, de acordo com a Resolução CMN 4.963/21:</w:t>
      </w:r>
    </w:p>
    <w:p w:rsidR="005B4F5A" w:rsidRDefault="005B4F5A" w:rsidP="005B4F5A">
      <w:pPr>
        <w:tabs>
          <w:tab w:val="left" w:pos="5310"/>
        </w:tabs>
        <w:autoSpaceDE w:val="0"/>
        <w:autoSpaceDN w:val="0"/>
        <w:adjustRightInd w:val="0"/>
        <w:spacing w:after="0" w:line="240" w:lineRule="auto"/>
        <w:rPr>
          <w:rFonts w:ascii="Calibri" w:eastAsia="Calibri" w:hAnsi="Calibri" w:cs="Times New Roman"/>
          <w:b/>
          <w:bCs/>
          <w:noProof/>
          <w:sz w:val="24"/>
          <w:szCs w:val="24"/>
          <w:lang w:eastAsia="en-US"/>
        </w:rPr>
      </w:pPr>
    </w:p>
    <w:p w:rsidR="005B4F5A" w:rsidRDefault="005B4F5A" w:rsidP="005B4F5A">
      <w:pPr>
        <w:tabs>
          <w:tab w:val="left" w:pos="5310"/>
        </w:tabs>
        <w:autoSpaceDE w:val="0"/>
        <w:autoSpaceDN w:val="0"/>
        <w:adjustRightInd w:val="0"/>
        <w:spacing w:after="0" w:line="240" w:lineRule="auto"/>
        <w:rPr>
          <w:rFonts w:ascii="Calibri" w:eastAsia="Calibri" w:hAnsi="Calibri" w:cs="Times New Roman"/>
          <w:b/>
          <w:bCs/>
          <w:noProof/>
          <w:sz w:val="24"/>
          <w:szCs w:val="24"/>
          <w:lang w:eastAsia="en-US"/>
        </w:rPr>
      </w:pPr>
    </w:p>
    <w:p w:rsidR="005B4F5A" w:rsidRPr="005B4F5A" w:rsidRDefault="005B4F5A" w:rsidP="005B4F5A">
      <w:pPr>
        <w:autoSpaceDE w:val="0"/>
        <w:autoSpaceDN w:val="0"/>
        <w:adjustRightInd w:val="0"/>
        <w:spacing w:after="0" w:line="240" w:lineRule="auto"/>
        <w:jc w:val="center"/>
        <w:rPr>
          <w:rFonts w:ascii="Calibri" w:eastAsia="Calibri" w:hAnsi="Calibri" w:cs="Times New Roman"/>
          <w:b/>
          <w:bCs/>
          <w:noProof/>
          <w:sz w:val="24"/>
          <w:szCs w:val="24"/>
          <w:lang w:eastAsia="en-US"/>
        </w:rPr>
      </w:pPr>
      <w:r w:rsidRPr="005B4F5A">
        <w:rPr>
          <w:rFonts w:ascii="Calibri" w:eastAsia="Calibri" w:hAnsi="Calibri" w:cs="Times New Roman"/>
          <w:b/>
          <w:bCs/>
          <w:noProof/>
          <w:sz w:val="24"/>
          <w:szCs w:val="24"/>
          <w:lang w:eastAsia="en-US"/>
        </w:rPr>
        <w:lastRenderedPageBreak/>
        <w:t>Tabela 1. Quadro Resumo das Aplicações e Limites. Resolução CMN 4.963/21</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tabs>
          <w:tab w:val="left" w:pos="2977"/>
        </w:tabs>
        <w:autoSpaceDE w:val="0"/>
        <w:autoSpaceDN w:val="0"/>
        <w:adjustRightInd w:val="0"/>
        <w:spacing w:after="0" w:line="240" w:lineRule="auto"/>
        <w:jc w:val="both"/>
        <w:rPr>
          <w:rFonts w:ascii="Calibri" w:eastAsia="Calibri" w:hAnsi="Calibri" w:cs="Times New Roman"/>
          <w:noProof/>
          <w:lang w:eastAsia="en-US"/>
        </w:rPr>
      </w:pPr>
      <w:r w:rsidRPr="005B4F5A">
        <w:rPr>
          <w:rFonts w:ascii="Calibri" w:eastAsia="Calibri" w:hAnsi="Calibri" w:cs="Times New Roman"/>
          <w:noProof/>
        </w:rPr>
        <w:drawing>
          <wp:inline distT="0" distB="0" distL="0" distR="0" wp14:anchorId="1EA34F6B" wp14:editId="7A2A7929">
            <wp:extent cx="8848725" cy="4829175"/>
            <wp:effectExtent l="0" t="0" r="9525" b="9525"/>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pic:cNvPicPr>
                  </pic:nvPicPr>
                  <pic:blipFill>
                    <a:blip r:embed="rId7"/>
                    <a:stretch>
                      <a:fillRect/>
                    </a:stretch>
                  </pic:blipFill>
                  <pic:spPr>
                    <a:xfrm>
                      <a:off x="0" y="0"/>
                      <a:ext cx="8850215" cy="4829988"/>
                    </a:xfrm>
                    <a:prstGeom prst="rect">
                      <a:avLst/>
                    </a:prstGeom>
                  </pic:spPr>
                </pic:pic>
              </a:graphicData>
            </a:graphic>
          </wp:inline>
        </w:drawing>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rPr>
          <w:rFonts w:ascii="Tahoma,Bold" w:eastAsia="Calibri" w:hAnsi="Tahoma,Bold" w:cs="Tahoma,Bold"/>
          <w:b/>
          <w:bCs/>
          <w:sz w:val="6"/>
          <w:szCs w:val="6"/>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lang w:eastAsia="en-US"/>
        </w:rPr>
      </w:pPr>
      <w:r w:rsidRPr="005B4F5A">
        <w:rPr>
          <w:rFonts w:ascii="Calibri Light" w:eastAsia="Calibri" w:hAnsi="Calibri Light" w:cs="Tahoma,Bold"/>
          <w:b/>
          <w:bCs/>
          <w:sz w:val="24"/>
          <w:szCs w:val="24"/>
          <w:lang w:eastAsia="en-US"/>
        </w:rPr>
        <w:t xml:space="preserve">6. </w:t>
      </w:r>
      <w:r w:rsidRPr="005B4F5A">
        <w:rPr>
          <w:rFonts w:ascii="Calibri Light" w:eastAsia="Calibri" w:hAnsi="Calibri Light" w:cs="Tahoma,Bold"/>
          <w:b/>
          <w:bCs/>
          <w:lang w:eastAsia="en-US"/>
        </w:rPr>
        <w:t>CRITÉRIOS DE CREDENCIAMENTO E SELEÇÃO DE GESTORES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Para a seleção de instituições financeiras autorizadas a operar com o Fundo Previdenciário de Muriaé – Muriaé-</w:t>
      </w:r>
      <w:proofErr w:type="spellStart"/>
      <w:r w:rsidRPr="005B4F5A">
        <w:rPr>
          <w:rFonts w:ascii="Calibri Light" w:eastAsia="Calibri" w:hAnsi="Calibri Light" w:cs="Tahoma"/>
          <w:sz w:val="24"/>
          <w:szCs w:val="24"/>
          <w:lang w:eastAsia="en-US"/>
        </w:rPr>
        <w:t>Prev</w:t>
      </w:r>
      <w:proofErr w:type="spellEnd"/>
      <w:r w:rsidRPr="005B4F5A">
        <w:rPr>
          <w:rFonts w:ascii="Calibri Light" w:eastAsia="Calibri" w:hAnsi="Calibri Light" w:cs="Tahoma"/>
          <w:sz w:val="24"/>
          <w:szCs w:val="24"/>
          <w:lang w:eastAsia="en-US"/>
        </w:rPr>
        <w:t xml:space="preserve"> será constituído processo de credenciamento sobre a figura do administrador e do gestor do fundo de investimento conforme disposto na Resolução CMN nº. 4.963, de 25 de novembro de 2021 e as Portarias MPS nº 519/2011 (texto consolidado), abaixo: </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 xml:space="preserve">“IX - </w:t>
      </w:r>
      <w:proofErr w:type="gramStart"/>
      <w:r w:rsidRPr="005B4F5A">
        <w:rPr>
          <w:rFonts w:ascii="Calibri Light" w:eastAsia="Calibri" w:hAnsi="Calibri Light" w:cs="Tahoma"/>
          <w:sz w:val="24"/>
          <w:szCs w:val="24"/>
          <w:lang w:eastAsia="en-US"/>
        </w:rPr>
        <w:t>na</w:t>
      </w:r>
      <w:proofErr w:type="gramEnd"/>
      <w:r w:rsidRPr="005B4F5A">
        <w:rPr>
          <w:rFonts w:ascii="Calibri Light" w:eastAsia="Calibri" w:hAnsi="Calibri Light" w:cs="Tahoma"/>
          <w:sz w:val="24"/>
          <w:szCs w:val="24"/>
          <w:lang w:eastAsia="en-US"/>
        </w:rPr>
        <w:t xml:space="preserve"> gestão própria, antes da realização de qualquer operação, assegurar que as instituições escolhidas para receber as aplicações tenham sido objeto de prévio credenciamento. (Redação dada pela Portaria MPS nº 440, de 09/10/</w:t>
      </w:r>
      <w:proofErr w:type="gramStart"/>
      <w:r w:rsidRPr="005B4F5A">
        <w:rPr>
          <w:rFonts w:ascii="Calibri Light" w:eastAsia="Calibri" w:hAnsi="Calibri Light" w:cs="Tahoma"/>
          <w:sz w:val="24"/>
          <w:szCs w:val="24"/>
          <w:lang w:eastAsia="en-US"/>
        </w:rPr>
        <w:t>2013)”</w:t>
      </w:r>
      <w:proofErr w:type="gramEnd"/>
      <w:r w:rsidRPr="005B4F5A">
        <w:rPr>
          <w:rFonts w:ascii="Calibri Light" w:eastAsia="Calibri" w:hAnsi="Calibri Light" w:cs="Tahoma"/>
          <w:sz w:val="24"/>
          <w:szCs w:val="24"/>
          <w:lang w:eastAsia="en-US"/>
        </w:rPr>
        <w:t>.</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“Gestão Própria: quando o RPPS realiza diretamente a execução da política de investimentos de sua carteira, decidindo sobre as alocações dos recursos, respeitados os parâmetros da legislação”.</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 xml:space="preserve">O processo consistirá na busca de informações junto às instituições financeiras de questionário modelo - </w:t>
      </w:r>
      <w:r w:rsidRPr="005B4F5A">
        <w:rPr>
          <w:rFonts w:ascii="Calibri Light" w:eastAsia="Calibri" w:hAnsi="Calibri Light" w:cs="Tahoma,Bold"/>
          <w:b/>
          <w:bCs/>
          <w:sz w:val="20"/>
          <w:szCs w:val="20"/>
          <w:lang w:eastAsia="en-US"/>
        </w:rPr>
        <w:t>QUESTIONÁRIO PADRÃO ANBIMA DUE DILIGENCE PARA FUNDOS DE INVESTIMENTO – SEÇÃO I, SEÇÃO II e SEÇÃO III</w:t>
      </w:r>
      <w:r w:rsidRPr="005B4F5A">
        <w:rPr>
          <w:rFonts w:ascii="Calibri Light" w:eastAsia="Calibri" w:hAnsi="Calibri Light" w:cs="Tahoma,Bold"/>
          <w:b/>
          <w:bCs/>
          <w:sz w:val="24"/>
          <w:szCs w:val="24"/>
          <w:lang w:eastAsia="en-US"/>
        </w:rPr>
        <w:t xml:space="preserve">) </w:t>
      </w:r>
      <w:r w:rsidRPr="005B4F5A">
        <w:rPr>
          <w:rFonts w:ascii="Calibri Light" w:eastAsia="Calibri" w:hAnsi="Calibri Light" w:cs="Tahoma"/>
          <w:sz w:val="24"/>
          <w:szCs w:val="24"/>
          <w:lang w:eastAsia="en-US"/>
        </w:rPr>
        <w:t>que contemplará a análise dos seguintes quesitos, atestado formalmente pelo representante legal do RPPS.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b/>
          <w:sz w:val="24"/>
          <w:szCs w:val="24"/>
          <w:lang w:eastAsia="en-US"/>
        </w:rPr>
      </w:pPr>
      <w:r w:rsidRPr="005B4F5A">
        <w:rPr>
          <w:rFonts w:ascii="Calibri Light" w:eastAsia="Calibri" w:hAnsi="Calibri Light" w:cs="Tahoma"/>
          <w:b/>
          <w:sz w:val="24"/>
          <w:szCs w:val="24"/>
          <w:lang w:eastAsia="en-US"/>
        </w:rPr>
        <w:t>6.1. Em relação à instituição financeira (</w:t>
      </w:r>
      <w:r w:rsidRPr="005B4F5A">
        <w:rPr>
          <w:rFonts w:ascii="Calibri Light" w:eastAsia="Calibri" w:hAnsi="Calibri Light" w:cs="Tahoma"/>
          <w:b/>
          <w:sz w:val="24"/>
          <w:szCs w:val="24"/>
          <w:u w:val="single"/>
          <w:lang w:eastAsia="en-US"/>
        </w:rPr>
        <w:t>administrador e gestor do fundo de investimento</w:t>
      </w:r>
      <w:r w:rsidRPr="005B4F5A">
        <w:rPr>
          <w:rFonts w:ascii="Calibri Light" w:eastAsia="Calibri" w:hAnsi="Calibri Light" w:cs="Tahoma"/>
          <w:b/>
          <w:sz w:val="24"/>
          <w:szCs w:val="24"/>
          <w:lang w:eastAsia="en-US"/>
        </w:rPr>
        <w:t>):</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numPr>
          <w:ilvl w:val="0"/>
          <w:numId w:val="4"/>
        </w:numPr>
        <w:autoSpaceDE w:val="0"/>
        <w:autoSpaceDN w:val="0"/>
        <w:adjustRightInd w:val="0"/>
        <w:spacing w:after="0" w:line="240" w:lineRule="auto"/>
        <w:contextualSpacing/>
        <w:jc w:val="both"/>
        <w:rPr>
          <w:rFonts w:ascii="Calibri Light" w:eastAsia="Calibri" w:hAnsi="Calibri Light" w:cs="Tahoma"/>
          <w:sz w:val="24"/>
          <w:szCs w:val="24"/>
          <w:lang w:eastAsia="en-US"/>
        </w:rPr>
      </w:pPr>
      <w:proofErr w:type="gramStart"/>
      <w:r w:rsidRPr="005B4F5A">
        <w:rPr>
          <w:rFonts w:ascii="Calibri Light" w:eastAsia="Calibri" w:hAnsi="Calibri Light" w:cs="Tahoma"/>
          <w:sz w:val="24"/>
          <w:szCs w:val="24"/>
          <w:lang w:eastAsia="en-US"/>
        </w:rPr>
        <w:t>atos</w:t>
      </w:r>
      <w:proofErr w:type="gramEnd"/>
      <w:r w:rsidRPr="005B4F5A">
        <w:rPr>
          <w:rFonts w:ascii="Calibri Light" w:eastAsia="Calibri" w:hAnsi="Calibri Light" w:cs="Tahoma"/>
          <w:sz w:val="24"/>
          <w:szCs w:val="24"/>
          <w:lang w:eastAsia="en-US"/>
        </w:rPr>
        <w:t xml:space="preserve"> de registro ou autorização para funcionamento expedido pelo Banco Central do Brasil ou Comissão de Valores Mobiliários ou órgão competente; </w:t>
      </w:r>
    </w:p>
    <w:p w:rsidR="005B4F5A" w:rsidRPr="005B4F5A" w:rsidRDefault="005B4F5A" w:rsidP="005B4F5A">
      <w:pPr>
        <w:numPr>
          <w:ilvl w:val="0"/>
          <w:numId w:val="4"/>
        </w:numPr>
        <w:autoSpaceDE w:val="0"/>
        <w:autoSpaceDN w:val="0"/>
        <w:adjustRightInd w:val="0"/>
        <w:spacing w:after="0" w:line="240" w:lineRule="auto"/>
        <w:contextualSpacing/>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Observação de elevado padrão ético de conduta nas operações realizadas no mercado financeiro e ausência de restrições que, a critério do Banco Central do Brasil, da Comissão de Valores Mobiliários ou de outros órgãos competentes desaconselhem um relacionamento seguro;</w:t>
      </w:r>
    </w:p>
    <w:p w:rsidR="005B4F5A" w:rsidRPr="005B4F5A" w:rsidRDefault="005B4F5A" w:rsidP="005B4F5A">
      <w:pPr>
        <w:numPr>
          <w:ilvl w:val="0"/>
          <w:numId w:val="4"/>
        </w:numPr>
        <w:autoSpaceDE w:val="0"/>
        <w:autoSpaceDN w:val="0"/>
        <w:adjustRightInd w:val="0"/>
        <w:spacing w:after="0" w:line="240" w:lineRule="auto"/>
        <w:contextualSpacing/>
        <w:jc w:val="both"/>
        <w:rPr>
          <w:rFonts w:ascii="Calibri Light" w:eastAsia="Calibri" w:hAnsi="Calibri Light" w:cs="Tahoma"/>
          <w:sz w:val="24"/>
          <w:szCs w:val="24"/>
          <w:lang w:eastAsia="en-US"/>
        </w:rPr>
      </w:pPr>
      <w:proofErr w:type="gramStart"/>
      <w:r w:rsidRPr="005B4F5A">
        <w:rPr>
          <w:rFonts w:ascii="Calibri Light" w:eastAsia="Calibri" w:hAnsi="Calibri Light" w:cs="Tahoma"/>
          <w:sz w:val="24"/>
          <w:szCs w:val="24"/>
          <w:lang w:eastAsia="en-US"/>
        </w:rPr>
        <w:t>regularidade</w:t>
      </w:r>
      <w:proofErr w:type="gramEnd"/>
      <w:r w:rsidRPr="005B4F5A">
        <w:rPr>
          <w:rFonts w:ascii="Calibri Light" w:eastAsia="Calibri" w:hAnsi="Calibri Light" w:cs="Tahoma"/>
          <w:sz w:val="24"/>
          <w:szCs w:val="24"/>
          <w:lang w:eastAsia="en-US"/>
        </w:rPr>
        <w:t xml:space="preserve"> fiscal e previdenciária;</w:t>
      </w:r>
    </w:p>
    <w:p w:rsidR="005B4F5A" w:rsidRPr="005B4F5A" w:rsidRDefault="005B4F5A" w:rsidP="005B4F5A">
      <w:pPr>
        <w:numPr>
          <w:ilvl w:val="0"/>
          <w:numId w:val="4"/>
        </w:numPr>
        <w:autoSpaceDE w:val="0"/>
        <w:autoSpaceDN w:val="0"/>
        <w:adjustRightInd w:val="0"/>
        <w:spacing w:after="0" w:line="240" w:lineRule="auto"/>
        <w:contextualSpacing/>
        <w:jc w:val="both"/>
        <w:rPr>
          <w:rFonts w:ascii="Calibri Light" w:eastAsia="Calibri" w:hAnsi="Calibri Light" w:cs="Tahoma"/>
          <w:sz w:val="24"/>
          <w:szCs w:val="24"/>
          <w:lang w:eastAsia="en-US"/>
        </w:rPr>
      </w:pPr>
      <w:proofErr w:type="gramStart"/>
      <w:r w:rsidRPr="005B4F5A">
        <w:rPr>
          <w:rFonts w:ascii="Calibri Light" w:eastAsia="Calibri" w:hAnsi="Calibri Light" w:cs="Tahoma"/>
          <w:sz w:val="24"/>
          <w:szCs w:val="24"/>
          <w:lang w:eastAsia="en-US"/>
        </w:rPr>
        <w:t>relatório</w:t>
      </w:r>
      <w:proofErr w:type="gramEnd"/>
      <w:r w:rsidRPr="005B4F5A">
        <w:rPr>
          <w:rFonts w:ascii="Calibri Light" w:eastAsia="Calibri" w:hAnsi="Calibri Light" w:cs="Tahoma"/>
          <w:sz w:val="24"/>
          <w:szCs w:val="24"/>
          <w:lang w:eastAsia="en-US"/>
        </w:rPr>
        <w:t xml:space="preserve"> de rating de gestão.</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b/>
          <w:sz w:val="24"/>
          <w:szCs w:val="24"/>
          <w:lang w:eastAsia="en-US"/>
        </w:rPr>
      </w:pPr>
      <w:r w:rsidRPr="005B4F5A">
        <w:rPr>
          <w:rFonts w:ascii="Calibri Light" w:eastAsia="Calibri" w:hAnsi="Calibri Light" w:cs="Tahoma"/>
          <w:b/>
          <w:sz w:val="24"/>
          <w:szCs w:val="24"/>
          <w:lang w:eastAsia="en-US"/>
        </w:rPr>
        <w:t>6.2. Em relação ao fundo de investimento:</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a) análise do histórico e experiência de atuação do gestor e do administrador do fundo de investimento e de seus controladores;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b) a análise quanto ao volume de recursos sob sua gestão e administração, bem como quanto a qualificação do corpo técnico e segregação de atividades;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c) a avaliação da aderência da rentabilidade aos indicadores de desempenho e riscos assumidos pelos fundos de investimentos sob sua gestão e administração, no período mínimo de dois anos anteriores ao credenciamento.</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b/>
          <w:sz w:val="24"/>
          <w:szCs w:val="24"/>
          <w:lang w:eastAsia="en-US"/>
        </w:rPr>
      </w:pPr>
      <w:r w:rsidRPr="005B4F5A">
        <w:rPr>
          <w:rFonts w:ascii="Calibri Light" w:eastAsia="Calibri" w:hAnsi="Calibri Light" w:cs="Tahoma"/>
          <w:b/>
          <w:sz w:val="24"/>
          <w:szCs w:val="24"/>
          <w:lang w:eastAsia="en-US"/>
        </w:rPr>
        <w:t>6.3. Requisitos Finais para o Credenciamento</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b/>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 xml:space="preserve">Art. 6º-E Sem prejuízo do disposto nos §§ 1º, 2º e 3º do art. 3º, (definidos nos itens 5.1 e 5.2) serão observadas em relação ao credenciamento de que trata o inciso IX daquele artigo as seguintes disposições: (Incluído pela Portaria MPS nº 300, de 03/07/2015). </w:t>
      </w:r>
    </w:p>
    <w:p w:rsidR="005B4F5A" w:rsidRPr="005B4F5A" w:rsidRDefault="005B4F5A" w:rsidP="005B4F5A">
      <w:pPr>
        <w:autoSpaceDE w:val="0"/>
        <w:autoSpaceDN w:val="0"/>
        <w:adjustRightInd w:val="0"/>
        <w:spacing w:after="0" w:line="240" w:lineRule="auto"/>
        <w:jc w:val="both"/>
        <w:rPr>
          <w:rFonts w:ascii="Calibri" w:eastAsia="Calibri" w:hAnsi="Calibri" w:cs="Times New Roman"/>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 xml:space="preserve">I - </w:t>
      </w:r>
      <w:proofErr w:type="gramStart"/>
      <w:r w:rsidRPr="005B4F5A">
        <w:rPr>
          <w:rFonts w:ascii="Calibri Light" w:eastAsia="Calibri" w:hAnsi="Calibri Light" w:cs="Tahoma"/>
          <w:sz w:val="24"/>
          <w:szCs w:val="24"/>
          <w:lang w:eastAsia="en-US"/>
        </w:rPr>
        <w:t>a</w:t>
      </w:r>
      <w:proofErr w:type="gramEnd"/>
      <w:r w:rsidRPr="005B4F5A">
        <w:rPr>
          <w:rFonts w:ascii="Calibri Light" w:eastAsia="Calibri" w:hAnsi="Calibri Light" w:cs="Tahoma"/>
          <w:sz w:val="24"/>
          <w:szCs w:val="24"/>
          <w:lang w:eastAsia="en-US"/>
        </w:rPr>
        <w:t xml:space="preserve"> análise das informações relativas à instituição credenciada e a verificação dos requisitos mínimos estabelecidos para o credenciamento deverão ser registradas em Termo de Análise de Credenciamento, cujo conteúdo mínimo constará de formulário disponibilizado pela SPPS no endereço eletrônico do MPS na rede mundial de computadores - Internet; (Incluído pela Portaria MPS nº 300, de 03/07/2015).</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 xml:space="preserve">II - </w:t>
      </w:r>
      <w:proofErr w:type="gramStart"/>
      <w:r w:rsidRPr="005B4F5A">
        <w:rPr>
          <w:rFonts w:ascii="Calibri Light" w:eastAsia="Calibri" w:hAnsi="Calibri Light" w:cs="Tahoma"/>
          <w:sz w:val="24"/>
          <w:szCs w:val="24"/>
          <w:lang w:eastAsia="en-US"/>
        </w:rPr>
        <w:t>a</w:t>
      </w:r>
      <w:proofErr w:type="gramEnd"/>
      <w:r w:rsidRPr="005B4F5A">
        <w:rPr>
          <w:rFonts w:ascii="Calibri Light" w:eastAsia="Calibri" w:hAnsi="Calibri Light" w:cs="Tahoma"/>
          <w:sz w:val="24"/>
          <w:szCs w:val="24"/>
          <w:lang w:eastAsia="en-US"/>
        </w:rPr>
        <w:t xml:space="preserve"> decisão final quanto ao credenciamento da instituição constará de Atestado de Credenciamento, conforme formulário disponibilizado pela SPPS no endereço eletrônico do MPS na rede mundial de computadores - Internet; (Incluído pela Portaria MPS nº 300, de 03/07/2015). </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 xml:space="preserve">III - os documentos que instruírem o credenciamento, desde que contenham identificação de sua data de emissão e validade e sejam disponibilizados pela instituição credenciada em página na rede mundial de computadores - Internet, cujo acesso seja livre a qualquer interessado, poderão ser mantidos pelo RPPS por meio de arquivos em meio digital, que deverão ser apresentados à SPPS e aos demais órgãos de controle e fiscalização, internos ou externos, sempre que solicitados. (Incluído pela Portaria MPS nº 300, de 03/07/2015). </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Parágrafo único. A utilização do Termo de Análise de Credenciamento e do Atestado de Credenciamento não afasta a responsabilidade do RPPS pela verificação do cumprimento dos requisitos mínimos para o credenciamento e não impede que o RPPS estabeleça critérios adicionais, com o objetivo de assegurar a observância das condições de segurança, rentabilidade, solvência, liquidez e transparência na aplicação dos recursos, segundo o disposto em Resolução do CMN. (Incluído pela Portaria MPS nº 300, de 03/07/2015).</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b/>
          <w:sz w:val="24"/>
          <w:szCs w:val="24"/>
          <w:lang w:eastAsia="en-US"/>
        </w:rPr>
      </w:pPr>
      <w:r w:rsidRPr="005B4F5A">
        <w:rPr>
          <w:rFonts w:ascii="Calibri Light" w:eastAsia="Calibri" w:hAnsi="Calibri Light" w:cs="Tahoma"/>
          <w:b/>
          <w:sz w:val="24"/>
          <w:szCs w:val="24"/>
          <w:lang w:eastAsia="en-US"/>
        </w:rPr>
        <w:t>6.4. Observações: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a) a análise dos quesitos verificados nos processos de credenciamento deverá ser atualizada a cada 12 (doze) meses.</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r w:rsidRPr="005B4F5A">
        <w:rPr>
          <w:rFonts w:ascii="Calibri Light" w:eastAsia="Calibri" w:hAnsi="Calibri Light" w:cs="Tahoma"/>
          <w:sz w:val="24"/>
          <w:szCs w:val="24"/>
          <w:lang w:eastAsia="en-US"/>
        </w:rPr>
        <w:t>b) as aplicações que apresentem prazos para desinvestimento, inclusive prazos de carência e para conversão de cotas de fundos de investimentos, deverão ser precedidas de atestado do responsável legal pelo RPPS, evidenciando a sua compatibilidade com as obrigações presentes e futuras do regime.</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roofErr w:type="gramStart"/>
      <w:r w:rsidRPr="005B4F5A">
        <w:rPr>
          <w:rFonts w:ascii="Calibri Light" w:eastAsia="Calibri" w:hAnsi="Calibri Light" w:cs="Tahoma"/>
          <w:sz w:val="24"/>
          <w:szCs w:val="24"/>
          <w:lang w:eastAsia="en-US"/>
        </w:rPr>
        <w:t>c) Deverá</w:t>
      </w:r>
      <w:proofErr w:type="gramEnd"/>
      <w:r w:rsidRPr="005B4F5A">
        <w:rPr>
          <w:rFonts w:ascii="Calibri Light" w:eastAsia="Calibri" w:hAnsi="Calibri Light" w:cs="Tahoma"/>
          <w:sz w:val="24"/>
          <w:szCs w:val="24"/>
          <w:lang w:eastAsia="en-US"/>
        </w:rPr>
        <w:t xml:space="preserve"> ser realizada a análise e registro do distribuidor, instituição integrante do sistema de distribuição ou agente autônomo de investimento, certificando-se sobre o contrato para distribuição e mediação do produto ofertado e a regularidade com a Comissão de Valores Mobiliários - CVM.</w:t>
      </w:r>
    </w:p>
    <w:p w:rsidR="005B4F5A" w:rsidRPr="005B4F5A" w:rsidRDefault="005B4F5A" w:rsidP="005B4F5A">
      <w:pPr>
        <w:autoSpaceDE w:val="0"/>
        <w:autoSpaceDN w:val="0"/>
        <w:adjustRightInd w:val="0"/>
        <w:spacing w:after="0" w:line="240" w:lineRule="auto"/>
        <w:jc w:val="both"/>
        <w:rPr>
          <w:rFonts w:ascii="Calibri Light" w:eastAsia="Calibri" w:hAnsi="Calibri Light" w:cs="Tahoma"/>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6"/>
          <w:szCs w:val="6"/>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lang w:eastAsia="en-US"/>
        </w:rPr>
      </w:pPr>
      <w:r w:rsidRPr="005B4F5A">
        <w:rPr>
          <w:rFonts w:ascii="Calibri Light" w:eastAsia="Calibri" w:hAnsi="Calibri Light" w:cs="Tahoma,Bold"/>
          <w:b/>
          <w:bCs/>
          <w:sz w:val="24"/>
          <w:szCs w:val="24"/>
          <w:lang w:eastAsia="en-US"/>
        </w:rPr>
        <w:t xml:space="preserve">7. </w:t>
      </w:r>
      <w:r w:rsidRPr="005B4F5A">
        <w:rPr>
          <w:rFonts w:ascii="Calibri Light" w:eastAsia="Calibri" w:hAnsi="Calibri Light" w:cs="Tahoma,Bold"/>
          <w:b/>
          <w:bCs/>
          <w:lang w:eastAsia="en-US"/>
        </w:rPr>
        <w:t xml:space="preserve"> GESTÃO DO RISCO DE CRÉDITO – NÃO PAGAMENTO DAS OBRIGAÇÕES</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lang w:eastAsia="en-US"/>
        </w:rPr>
      </w:pPr>
      <w:r w:rsidRPr="005B4F5A">
        <w:rPr>
          <w:rFonts w:ascii="Calibri Light" w:eastAsia="Calibri" w:hAnsi="Calibri Light" w:cs="Tahoma,Bold"/>
          <w:bCs/>
          <w:lang w:eastAsia="en-US"/>
        </w:rPr>
        <w:t xml:space="preserve">O </w:t>
      </w:r>
      <w:r w:rsidRPr="005B4F5A">
        <w:rPr>
          <w:rFonts w:ascii="Calibri Light" w:eastAsia="Calibri" w:hAnsi="Calibri Light" w:cs="Tahoma"/>
          <w:sz w:val="24"/>
          <w:szCs w:val="24"/>
          <w:lang w:eastAsia="en-US"/>
        </w:rPr>
        <w:t>Fundo Previdenciário de Muriaé – Muriaé-</w:t>
      </w:r>
      <w:proofErr w:type="spellStart"/>
      <w:r w:rsidRPr="005B4F5A">
        <w:rPr>
          <w:rFonts w:ascii="Calibri Light" w:eastAsia="Calibri" w:hAnsi="Calibri Light" w:cs="Tahoma"/>
          <w:sz w:val="24"/>
          <w:szCs w:val="24"/>
          <w:lang w:eastAsia="en-US"/>
        </w:rPr>
        <w:t>Prev</w:t>
      </w:r>
      <w:proofErr w:type="spellEnd"/>
      <w:r w:rsidRPr="005B4F5A">
        <w:rPr>
          <w:rFonts w:ascii="Calibri Light" w:eastAsia="Calibri" w:hAnsi="Calibri Light" w:cs="Tahoma,Bold"/>
          <w:bCs/>
          <w:lang w:eastAsia="en-US"/>
        </w:rPr>
        <w:t xml:space="preserve"> somente poderá alocar recursos em fundos de investimento classificados com o mais alto grau de qualidade de crédito, mediante nota por agência internacional de classificação de risco, representada pelo quadro abaixo.</w:t>
      </w:r>
    </w:p>
    <w:p w:rsidR="005B4F5A" w:rsidRPr="005B4F5A" w:rsidRDefault="005B4F5A" w:rsidP="005B4F5A">
      <w:pPr>
        <w:autoSpaceDE w:val="0"/>
        <w:autoSpaceDN w:val="0"/>
        <w:adjustRightInd w:val="0"/>
        <w:spacing w:after="0" w:line="240" w:lineRule="auto"/>
        <w:jc w:val="center"/>
        <w:rPr>
          <w:rFonts w:ascii="Calibri Light" w:eastAsia="Calibri" w:hAnsi="Calibri Light" w:cs="Tahoma,Bold"/>
          <w:bCs/>
          <w:lang w:eastAsia="en-US"/>
        </w:rPr>
      </w:pPr>
    </w:p>
    <w:tbl>
      <w:tblPr>
        <w:tblStyle w:val="Tabelacomgrade1"/>
        <w:tblW w:w="0" w:type="auto"/>
        <w:jc w:val="center"/>
        <w:tblLook w:val="04A0" w:firstRow="1" w:lastRow="0" w:firstColumn="1" w:lastColumn="0" w:noHBand="0" w:noVBand="1"/>
      </w:tblPr>
      <w:tblGrid>
        <w:gridCol w:w="4677"/>
        <w:gridCol w:w="4253"/>
      </w:tblGrid>
      <w:tr w:rsidR="005B4F5A" w:rsidRPr="005B4F5A" w:rsidTr="005B4F5A">
        <w:trPr>
          <w:jc w:val="center"/>
        </w:trPr>
        <w:tc>
          <w:tcPr>
            <w:tcW w:w="4677" w:type="dxa"/>
            <w:tcBorders>
              <w:bottom w:val="single" w:sz="12" w:space="0" w:color="auto"/>
              <w:right w:val="single" w:sz="12" w:space="0" w:color="auto"/>
            </w:tcBorders>
            <w:shd w:val="clear" w:color="auto" w:fill="F2F2F2"/>
          </w:tcPr>
          <w:p w:rsidR="005B4F5A" w:rsidRPr="005B4F5A" w:rsidRDefault="005B4F5A" w:rsidP="005B4F5A">
            <w:pPr>
              <w:autoSpaceDE w:val="0"/>
              <w:autoSpaceDN w:val="0"/>
              <w:adjustRightInd w:val="0"/>
              <w:spacing w:after="200"/>
              <w:jc w:val="center"/>
              <w:rPr>
                <w:rFonts w:ascii="Calibri Light" w:hAnsi="Calibri Light" w:cs="Tahoma,Bold"/>
                <w:b/>
                <w:bCs/>
                <w:sz w:val="20"/>
                <w:szCs w:val="20"/>
              </w:rPr>
            </w:pPr>
            <w:r w:rsidRPr="005B4F5A">
              <w:rPr>
                <w:rFonts w:ascii="Calibri Light" w:hAnsi="Calibri Light" w:cs="Tahoma,Bold"/>
                <w:b/>
                <w:bCs/>
                <w:sz w:val="20"/>
                <w:szCs w:val="20"/>
              </w:rPr>
              <w:t>CLASSIFICAÇÃO DO RISCO DE CRÉDITO - RATING</w:t>
            </w:r>
          </w:p>
        </w:tc>
        <w:tc>
          <w:tcPr>
            <w:tcW w:w="4253" w:type="dxa"/>
            <w:tcBorders>
              <w:left w:val="single" w:sz="12" w:space="0" w:color="auto"/>
              <w:bottom w:val="single" w:sz="12" w:space="0" w:color="auto"/>
            </w:tcBorders>
            <w:shd w:val="clear" w:color="auto" w:fill="F2F2F2"/>
          </w:tcPr>
          <w:p w:rsidR="005B4F5A" w:rsidRPr="005B4F5A" w:rsidRDefault="005B4F5A" w:rsidP="005B4F5A">
            <w:pPr>
              <w:autoSpaceDE w:val="0"/>
              <w:autoSpaceDN w:val="0"/>
              <w:adjustRightInd w:val="0"/>
              <w:spacing w:after="200"/>
              <w:jc w:val="center"/>
              <w:rPr>
                <w:rFonts w:ascii="Calibri Light" w:hAnsi="Calibri Light" w:cs="Tahoma,Bold"/>
                <w:b/>
                <w:bCs/>
                <w:sz w:val="20"/>
                <w:szCs w:val="20"/>
              </w:rPr>
            </w:pPr>
            <w:r w:rsidRPr="005B4F5A">
              <w:rPr>
                <w:rFonts w:ascii="Calibri Light" w:hAnsi="Calibri Light" w:cs="Tahoma,Bold"/>
                <w:b/>
                <w:bCs/>
                <w:sz w:val="20"/>
                <w:szCs w:val="20"/>
              </w:rPr>
              <w:t>AGÊNCIA DE CLASSIFICAÇÃO DE RISCO</w:t>
            </w:r>
          </w:p>
        </w:tc>
      </w:tr>
      <w:tr w:rsidR="005B4F5A" w:rsidRPr="005B4F5A" w:rsidTr="005B4F5A">
        <w:trPr>
          <w:trHeight w:val="338"/>
          <w:jc w:val="center"/>
        </w:trPr>
        <w:tc>
          <w:tcPr>
            <w:tcW w:w="4677" w:type="dxa"/>
            <w:tcBorders>
              <w:top w:val="single" w:sz="12" w:space="0" w:color="auto"/>
              <w:bottom w:val="single" w:sz="12" w:space="0" w:color="auto"/>
              <w:right w:val="single" w:sz="12" w:space="0" w:color="auto"/>
            </w:tcBorders>
            <w:shd w:val="clear" w:color="auto" w:fill="F2F2F2"/>
          </w:tcPr>
          <w:p w:rsidR="005B4F5A" w:rsidRPr="005B4F5A" w:rsidRDefault="005B4F5A" w:rsidP="005B4F5A">
            <w:pPr>
              <w:autoSpaceDE w:val="0"/>
              <w:autoSpaceDN w:val="0"/>
              <w:adjustRightInd w:val="0"/>
              <w:spacing w:after="200"/>
              <w:jc w:val="center"/>
              <w:rPr>
                <w:rFonts w:ascii="Calibri Light" w:hAnsi="Calibri Light" w:cs="Tahoma,Bold"/>
                <w:bCs/>
                <w:sz w:val="20"/>
                <w:szCs w:val="20"/>
              </w:rPr>
            </w:pPr>
            <w:r w:rsidRPr="005B4F5A">
              <w:rPr>
                <w:rFonts w:ascii="Calibri Light" w:hAnsi="Calibri Light" w:cs="Tahoma,Bold"/>
                <w:bCs/>
                <w:sz w:val="20"/>
                <w:szCs w:val="20"/>
              </w:rPr>
              <w:t>MAIS ALTO GRAU DE QUALIDADE DE CRÉDITO</w:t>
            </w:r>
          </w:p>
        </w:tc>
        <w:tc>
          <w:tcPr>
            <w:tcW w:w="4253" w:type="dxa"/>
            <w:tcBorders>
              <w:top w:val="single" w:sz="12" w:space="0" w:color="auto"/>
              <w:left w:val="single" w:sz="12" w:space="0" w:color="auto"/>
              <w:bottom w:val="single" w:sz="12" w:space="0" w:color="auto"/>
            </w:tcBorders>
            <w:shd w:val="clear" w:color="auto" w:fill="F2F2F2"/>
          </w:tcPr>
          <w:p w:rsidR="005B4F5A" w:rsidRPr="005B4F5A" w:rsidRDefault="005B4F5A" w:rsidP="005B4F5A">
            <w:pPr>
              <w:autoSpaceDE w:val="0"/>
              <w:autoSpaceDN w:val="0"/>
              <w:adjustRightInd w:val="0"/>
              <w:spacing w:after="200"/>
              <w:jc w:val="center"/>
              <w:rPr>
                <w:rFonts w:ascii="Calibri Light" w:hAnsi="Calibri Light" w:cs="Tahoma,Bold"/>
                <w:bCs/>
                <w:sz w:val="20"/>
                <w:szCs w:val="20"/>
              </w:rPr>
            </w:pPr>
            <w:r w:rsidRPr="005B4F5A">
              <w:rPr>
                <w:rFonts w:ascii="Calibri Light" w:hAnsi="Calibri Light" w:cs="Tahoma,Bold"/>
                <w:bCs/>
                <w:sz w:val="20"/>
                <w:szCs w:val="20"/>
              </w:rPr>
              <w:t>Vencimento de 1 (UM) ano ou mais – Longo Prazo</w:t>
            </w:r>
          </w:p>
        </w:tc>
      </w:tr>
      <w:tr w:rsidR="005B4F5A" w:rsidRPr="005B4F5A" w:rsidTr="005B4F5A">
        <w:trPr>
          <w:trHeight w:val="746"/>
          <w:jc w:val="center"/>
        </w:trPr>
        <w:tc>
          <w:tcPr>
            <w:tcW w:w="4677" w:type="dxa"/>
            <w:tcBorders>
              <w:top w:val="single" w:sz="12" w:space="0" w:color="auto"/>
              <w:right w:val="single" w:sz="12" w:space="0" w:color="auto"/>
            </w:tcBorders>
          </w:tcPr>
          <w:p w:rsidR="005B4F5A" w:rsidRPr="005B4F5A" w:rsidRDefault="005B4F5A" w:rsidP="005B4F5A">
            <w:pPr>
              <w:autoSpaceDE w:val="0"/>
              <w:autoSpaceDN w:val="0"/>
              <w:adjustRightInd w:val="0"/>
              <w:spacing w:after="200"/>
              <w:jc w:val="center"/>
              <w:rPr>
                <w:rFonts w:ascii="Calibri Light" w:hAnsi="Calibri Light" w:cs="Tahoma"/>
                <w:b/>
                <w:sz w:val="24"/>
                <w:szCs w:val="24"/>
              </w:rPr>
            </w:pPr>
          </w:p>
          <w:p w:rsidR="005B4F5A" w:rsidRPr="005B4F5A" w:rsidRDefault="005B4F5A" w:rsidP="005B4F5A">
            <w:pPr>
              <w:autoSpaceDE w:val="0"/>
              <w:autoSpaceDN w:val="0"/>
              <w:adjustRightInd w:val="0"/>
              <w:spacing w:after="200"/>
              <w:jc w:val="center"/>
              <w:rPr>
                <w:rFonts w:ascii="Calibri Light" w:hAnsi="Calibri Light" w:cs="Tahoma"/>
                <w:b/>
                <w:sz w:val="24"/>
                <w:szCs w:val="24"/>
              </w:rPr>
            </w:pPr>
            <w:proofErr w:type="spellStart"/>
            <w:r w:rsidRPr="005B4F5A">
              <w:rPr>
                <w:rFonts w:ascii="Calibri Light" w:hAnsi="Calibri Light" w:cs="Tahoma"/>
                <w:b/>
                <w:sz w:val="24"/>
                <w:szCs w:val="24"/>
              </w:rPr>
              <w:t>Aaa</w:t>
            </w:r>
            <w:proofErr w:type="spellEnd"/>
          </w:p>
        </w:tc>
        <w:tc>
          <w:tcPr>
            <w:tcW w:w="4253" w:type="dxa"/>
            <w:tcBorders>
              <w:top w:val="single" w:sz="12" w:space="0" w:color="auto"/>
              <w:left w:val="single" w:sz="12" w:space="0" w:color="auto"/>
            </w:tcBorders>
          </w:tcPr>
          <w:p w:rsidR="005B4F5A" w:rsidRPr="005B4F5A" w:rsidRDefault="005B4F5A" w:rsidP="005B4F5A">
            <w:pPr>
              <w:autoSpaceDE w:val="0"/>
              <w:autoSpaceDN w:val="0"/>
              <w:adjustRightInd w:val="0"/>
              <w:spacing w:after="200"/>
              <w:jc w:val="center"/>
              <w:rPr>
                <w:rFonts w:ascii="Calibri Light" w:hAnsi="Calibri Light" w:cs="Tahoma"/>
                <w:b/>
                <w:sz w:val="24"/>
                <w:szCs w:val="24"/>
              </w:rPr>
            </w:pPr>
          </w:p>
          <w:p w:rsidR="005B4F5A" w:rsidRPr="005B4F5A" w:rsidRDefault="005B4F5A" w:rsidP="005B4F5A">
            <w:pPr>
              <w:autoSpaceDE w:val="0"/>
              <w:autoSpaceDN w:val="0"/>
              <w:adjustRightInd w:val="0"/>
              <w:spacing w:after="200"/>
              <w:jc w:val="center"/>
              <w:rPr>
                <w:rFonts w:ascii="Calibri Light" w:hAnsi="Calibri Light" w:cs="Tahoma"/>
                <w:b/>
                <w:sz w:val="24"/>
                <w:szCs w:val="24"/>
              </w:rPr>
            </w:pPr>
            <w:r w:rsidRPr="005B4F5A">
              <w:rPr>
                <w:rFonts w:ascii="Calibri Light" w:hAnsi="Calibri Light" w:cs="Tahoma"/>
                <w:b/>
                <w:sz w:val="24"/>
                <w:szCs w:val="24"/>
              </w:rPr>
              <w:t>Moody’s</w:t>
            </w:r>
          </w:p>
        </w:tc>
      </w:tr>
      <w:tr w:rsidR="005B4F5A" w:rsidRPr="005B4F5A" w:rsidTr="005B4F5A">
        <w:trPr>
          <w:trHeight w:val="847"/>
          <w:jc w:val="center"/>
        </w:trPr>
        <w:tc>
          <w:tcPr>
            <w:tcW w:w="4677" w:type="dxa"/>
            <w:tcBorders>
              <w:right w:val="single" w:sz="12" w:space="0" w:color="auto"/>
            </w:tcBorders>
          </w:tcPr>
          <w:p w:rsidR="005B4F5A" w:rsidRPr="005B4F5A" w:rsidRDefault="005B4F5A" w:rsidP="005B4F5A">
            <w:pPr>
              <w:autoSpaceDE w:val="0"/>
              <w:autoSpaceDN w:val="0"/>
              <w:adjustRightInd w:val="0"/>
              <w:spacing w:after="200"/>
              <w:jc w:val="center"/>
              <w:rPr>
                <w:rFonts w:ascii="Calibri Light" w:hAnsi="Calibri Light" w:cs="Tahoma"/>
                <w:b/>
                <w:sz w:val="24"/>
                <w:szCs w:val="24"/>
              </w:rPr>
            </w:pPr>
          </w:p>
          <w:p w:rsidR="005B4F5A" w:rsidRPr="005B4F5A" w:rsidRDefault="005B4F5A" w:rsidP="005B4F5A">
            <w:pPr>
              <w:autoSpaceDE w:val="0"/>
              <w:autoSpaceDN w:val="0"/>
              <w:adjustRightInd w:val="0"/>
              <w:spacing w:after="200"/>
              <w:jc w:val="center"/>
              <w:rPr>
                <w:rFonts w:ascii="Calibri Light" w:hAnsi="Calibri Light" w:cs="Tahoma"/>
                <w:b/>
                <w:sz w:val="24"/>
                <w:szCs w:val="24"/>
              </w:rPr>
            </w:pPr>
            <w:r w:rsidRPr="005B4F5A">
              <w:rPr>
                <w:rFonts w:ascii="Calibri Light" w:hAnsi="Calibri Light" w:cs="Tahoma"/>
                <w:b/>
                <w:sz w:val="24"/>
                <w:szCs w:val="24"/>
              </w:rPr>
              <w:t>AAA</w:t>
            </w:r>
          </w:p>
        </w:tc>
        <w:tc>
          <w:tcPr>
            <w:tcW w:w="4253" w:type="dxa"/>
            <w:tcBorders>
              <w:left w:val="single" w:sz="12" w:space="0" w:color="auto"/>
            </w:tcBorders>
          </w:tcPr>
          <w:p w:rsidR="005B4F5A" w:rsidRPr="005B4F5A" w:rsidRDefault="005B4F5A" w:rsidP="005B4F5A">
            <w:pPr>
              <w:autoSpaceDE w:val="0"/>
              <w:autoSpaceDN w:val="0"/>
              <w:adjustRightInd w:val="0"/>
              <w:spacing w:after="200"/>
              <w:jc w:val="center"/>
              <w:rPr>
                <w:rFonts w:ascii="Calibri Light" w:hAnsi="Calibri Light" w:cs="Tahoma"/>
                <w:b/>
                <w:sz w:val="24"/>
                <w:szCs w:val="24"/>
              </w:rPr>
            </w:pPr>
          </w:p>
          <w:p w:rsidR="005B4F5A" w:rsidRPr="005B4F5A" w:rsidRDefault="005B4F5A" w:rsidP="005B4F5A">
            <w:pPr>
              <w:autoSpaceDE w:val="0"/>
              <w:autoSpaceDN w:val="0"/>
              <w:adjustRightInd w:val="0"/>
              <w:spacing w:after="200"/>
              <w:jc w:val="center"/>
              <w:rPr>
                <w:rFonts w:ascii="Calibri Light" w:hAnsi="Calibri Light" w:cs="Tahoma"/>
                <w:b/>
                <w:sz w:val="24"/>
                <w:szCs w:val="24"/>
              </w:rPr>
            </w:pPr>
            <w:r w:rsidRPr="005B4F5A">
              <w:rPr>
                <w:rFonts w:ascii="Calibri Light" w:hAnsi="Calibri Light" w:cs="Tahoma"/>
                <w:b/>
                <w:sz w:val="24"/>
                <w:szCs w:val="24"/>
              </w:rPr>
              <w:t>Fitch</w:t>
            </w:r>
          </w:p>
        </w:tc>
      </w:tr>
      <w:tr w:rsidR="005B4F5A" w:rsidRPr="005B4F5A" w:rsidTr="005B4F5A">
        <w:trPr>
          <w:trHeight w:val="769"/>
          <w:jc w:val="center"/>
        </w:trPr>
        <w:tc>
          <w:tcPr>
            <w:tcW w:w="4677" w:type="dxa"/>
            <w:tcBorders>
              <w:right w:val="single" w:sz="12" w:space="0" w:color="auto"/>
            </w:tcBorders>
          </w:tcPr>
          <w:p w:rsidR="005B4F5A" w:rsidRPr="005B4F5A" w:rsidRDefault="005B4F5A" w:rsidP="005B4F5A">
            <w:pPr>
              <w:autoSpaceDE w:val="0"/>
              <w:autoSpaceDN w:val="0"/>
              <w:adjustRightInd w:val="0"/>
              <w:spacing w:after="200"/>
              <w:jc w:val="center"/>
              <w:rPr>
                <w:rFonts w:ascii="Calibri Light" w:hAnsi="Calibri Light" w:cs="Tahoma"/>
                <w:b/>
                <w:sz w:val="24"/>
                <w:szCs w:val="24"/>
              </w:rPr>
            </w:pPr>
          </w:p>
          <w:p w:rsidR="005B4F5A" w:rsidRPr="005B4F5A" w:rsidRDefault="005B4F5A" w:rsidP="005B4F5A">
            <w:pPr>
              <w:autoSpaceDE w:val="0"/>
              <w:autoSpaceDN w:val="0"/>
              <w:adjustRightInd w:val="0"/>
              <w:spacing w:after="200"/>
              <w:jc w:val="center"/>
              <w:rPr>
                <w:rFonts w:ascii="Calibri Light" w:hAnsi="Calibri Light" w:cs="Tahoma"/>
                <w:b/>
                <w:sz w:val="24"/>
                <w:szCs w:val="24"/>
              </w:rPr>
            </w:pPr>
            <w:r w:rsidRPr="005B4F5A">
              <w:rPr>
                <w:rFonts w:ascii="Calibri Light" w:hAnsi="Calibri Light" w:cs="Tahoma"/>
                <w:b/>
                <w:sz w:val="24"/>
                <w:szCs w:val="24"/>
              </w:rPr>
              <w:t>AAA</w:t>
            </w:r>
          </w:p>
        </w:tc>
        <w:tc>
          <w:tcPr>
            <w:tcW w:w="4253" w:type="dxa"/>
            <w:tcBorders>
              <w:left w:val="single" w:sz="12" w:space="0" w:color="auto"/>
            </w:tcBorders>
          </w:tcPr>
          <w:p w:rsidR="005B4F5A" w:rsidRPr="005B4F5A" w:rsidRDefault="005B4F5A" w:rsidP="005B4F5A">
            <w:pPr>
              <w:autoSpaceDE w:val="0"/>
              <w:autoSpaceDN w:val="0"/>
              <w:adjustRightInd w:val="0"/>
              <w:spacing w:after="200"/>
              <w:jc w:val="center"/>
              <w:rPr>
                <w:rFonts w:ascii="Calibri Light" w:hAnsi="Calibri Light" w:cs="Tahoma"/>
                <w:b/>
                <w:sz w:val="24"/>
                <w:szCs w:val="24"/>
              </w:rPr>
            </w:pPr>
          </w:p>
          <w:p w:rsidR="005B4F5A" w:rsidRPr="005B4F5A" w:rsidRDefault="005B4F5A" w:rsidP="005B4F5A">
            <w:pPr>
              <w:autoSpaceDE w:val="0"/>
              <w:autoSpaceDN w:val="0"/>
              <w:adjustRightInd w:val="0"/>
              <w:spacing w:after="200"/>
              <w:jc w:val="center"/>
              <w:rPr>
                <w:rFonts w:ascii="Calibri Light" w:hAnsi="Calibri Light" w:cs="Tahoma"/>
                <w:b/>
                <w:sz w:val="24"/>
                <w:szCs w:val="24"/>
              </w:rPr>
            </w:pPr>
            <w:r w:rsidRPr="005B4F5A">
              <w:rPr>
                <w:rFonts w:ascii="Calibri Light" w:hAnsi="Calibri Light" w:cs="Tahoma"/>
                <w:b/>
                <w:sz w:val="24"/>
                <w:szCs w:val="24"/>
              </w:rPr>
              <w:t xml:space="preserve">Standard &amp; </w:t>
            </w:r>
            <w:proofErr w:type="spellStart"/>
            <w:r w:rsidRPr="005B4F5A">
              <w:rPr>
                <w:rFonts w:ascii="Calibri Light" w:hAnsi="Calibri Light" w:cs="Tahoma"/>
                <w:b/>
                <w:sz w:val="24"/>
                <w:szCs w:val="24"/>
              </w:rPr>
              <w:t>Poor’s</w:t>
            </w:r>
            <w:proofErr w:type="spellEnd"/>
          </w:p>
        </w:tc>
      </w:tr>
    </w:tbl>
    <w:p w:rsidR="005B4F5A" w:rsidRPr="005B4F5A" w:rsidRDefault="005B4F5A" w:rsidP="005B4F5A">
      <w:pPr>
        <w:autoSpaceDE w:val="0"/>
        <w:autoSpaceDN w:val="0"/>
        <w:adjustRightInd w:val="0"/>
        <w:spacing w:after="0" w:line="240" w:lineRule="auto"/>
        <w:jc w:val="center"/>
        <w:rPr>
          <w:rFonts w:ascii="Calibri Light" w:eastAsia="Calibri" w:hAnsi="Calibri Light" w:cs="Tahoma,Bold"/>
          <w:bCs/>
          <w:lang w:eastAsia="en-US"/>
        </w:rPr>
      </w:pPr>
    </w:p>
    <w:p w:rsidR="005B4F5A" w:rsidRPr="005B4F5A" w:rsidRDefault="005B4F5A" w:rsidP="005B4F5A">
      <w:pPr>
        <w:autoSpaceDE w:val="0"/>
        <w:autoSpaceDN w:val="0"/>
        <w:adjustRightInd w:val="0"/>
        <w:spacing w:after="0" w:line="240" w:lineRule="auto"/>
        <w:rPr>
          <w:rFonts w:ascii="Calibri Light" w:eastAsia="Calibri" w:hAnsi="Calibri Light" w:cs="Tahoma,Bold"/>
          <w:b/>
          <w:bCs/>
          <w:sz w:val="24"/>
          <w:szCs w:val="24"/>
          <w:lang w:eastAsia="en-US"/>
        </w:rPr>
      </w:pPr>
      <w:r w:rsidRPr="005B4F5A">
        <w:rPr>
          <w:rFonts w:ascii="Calibri Light" w:eastAsia="Calibri" w:hAnsi="Calibri Light" w:cs="Tahoma,Bold"/>
          <w:b/>
          <w:bCs/>
          <w:sz w:val="24"/>
          <w:szCs w:val="24"/>
          <w:lang w:eastAsia="en-US"/>
        </w:rPr>
        <w:t>7.1 GESTÃO DO RISCO DE MERCADO</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lang w:eastAsia="en-US"/>
        </w:rPr>
        <w:t xml:space="preserve">A carteira de investimentos será monitorada no binômio risco-retorno com a utilização das principais medidas de risco dos investimentos: retorno absoluto, retorno relativo, volatilidade, </w:t>
      </w:r>
      <w:proofErr w:type="spellStart"/>
      <w:r w:rsidRPr="005B4F5A">
        <w:rPr>
          <w:rFonts w:ascii="Calibri Light" w:eastAsia="Calibri" w:hAnsi="Calibri Light" w:cs="Tahoma,Bold"/>
          <w:bCs/>
          <w:sz w:val="24"/>
          <w:szCs w:val="24"/>
          <w:lang w:eastAsia="en-US"/>
        </w:rPr>
        <w:t>V@r</w:t>
      </w:r>
      <w:proofErr w:type="spellEnd"/>
      <w:r w:rsidRPr="005B4F5A">
        <w:rPr>
          <w:rFonts w:ascii="Calibri Light" w:eastAsia="Calibri" w:hAnsi="Calibri Light" w:cs="Tahoma,Bold"/>
          <w:bCs/>
          <w:sz w:val="24"/>
          <w:szCs w:val="24"/>
          <w:lang w:eastAsia="en-US"/>
        </w:rPr>
        <w:t xml:space="preserve"> (</w:t>
      </w:r>
      <w:proofErr w:type="spellStart"/>
      <w:r w:rsidRPr="005B4F5A">
        <w:rPr>
          <w:rFonts w:ascii="Calibri Light" w:eastAsia="Calibri" w:hAnsi="Calibri Light" w:cs="Tahoma,Bold"/>
          <w:bCs/>
          <w:i/>
          <w:sz w:val="24"/>
          <w:szCs w:val="24"/>
          <w:lang w:eastAsia="en-US"/>
        </w:rPr>
        <w:t>value</w:t>
      </w:r>
      <w:proofErr w:type="spellEnd"/>
      <w:r w:rsidRPr="005B4F5A">
        <w:rPr>
          <w:rFonts w:ascii="Calibri Light" w:eastAsia="Calibri" w:hAnsi="Calibri Light" w:cs="Tahoma,Bold"/>
          <w:bCs/>
          <w:i/>
          <w:sz w:val="24"/>
          <w:szCs w:val="24"/>
          <w:lang w:eastAsia="en-US"/>
        </w:rPr>
        <w:t xml:space="preserve"> </w:t>
      </w:r>
      <w:proofErr w:type="spellStart"/>
      <w:r w:rsidRPr="005B4F5A">
        <w:rPr>
          <w:rFonts w:ascii="Calibri Light" w:eastAsia="Calibri" w:hAnsi="Calibri Light" w:cs="Tahoma,Bold"/>
          <w:bCs/>
          <w:i/>
          <w:sz w:val="24"/>
          <w:szCs w:val="24"/>
          <w:lang w:eastAsia="en-US"/>
        </w:rPr>
        <w:t>at</w:t>
      </w:r>
      <w:proofErr w:type="spellEnd"/>
      <w:r w:rsidRPr="005B4F5A">
        <w:rPr>
          <w:rFonts w:ascii="Calibri Light" w:eastAsia="Calibri" w:hAnsi="Calibri Light" w:cs="Tahoma,Bold"/>
          <w:bCs/>
          <w:i/>
          <w:sz w:val="24"/>
          <w:szCs w:val="24"/>
          <w:lang w:eastAsia="en-US"/>
        </w:rPr>
        <w:t xml:space="preserve"> </w:t>
      </w:r>
      <w:proofErr w:type="spellStart"/>
      <w:r w:rsidRPr="005B4F5A">
        <w:rPr>
          <w:rFonts w:ascii="Calibri Light" w:eastAsia="Calibri" w:hAnsi="Calibri Light" w:cs="Tahoma,Bold"/>
          <w:bCs/>
          <w:i/>
          <w:sz w:val="24"/>
          <w:szCs w:val="24"/>
          <w:lang w:eastAsia="en-US"/>
        </w:rPr>
        <w:t>risk</w:t>
      </w:r>
      <w:proofErr w:type="spellEnd"/>
      <w:r w:rsidRPr="005B4F5A">
        <w:rPr>
          <w:rFonts w:ascii="Calibri Light" w:eastAsia="Calibri" w:hAnsi="Calibri Light" w:cs="Tahoma,Bold"/>
          <w:bCs/>
          <w:sz w:val="24"/>
          <w:szCs w:val="24"/>
          <w:lang w:eastAsia="en-US"/>
        </w:rPr>
        <w:t>) e Índice de Sharpe. Serão consideradas diferentes janelas de tempo para melhor capturar as oscilações inerentes aos investimentos, tanto de renda fixa quanto de renda variável.</w:t>
      </w:r>
    </w:p>
    <w:p w:rsidR="005B4F5A" w:rsidRPr="005B4F5A" w:rsidRDefault="005B4F5A" w:rsidP="005B4F5A">
      <w:pPr>
        <w:autoSpaceDE w:val="0"/>
        <w:autoSpaceDN w:val="0"/>
        <w:adjustRightInd w:val="0"/>
        <w:spacing w:after="0" w:line="240" w:lineRule="auto"/>
        <w:rPr>
          <w:rFonts w:ascii="Calibri Light" w:eastAsia="Calibri" w:hAnsi="Calibri Light" w:cs="Tahoma,Bold"/>
          <w:bCs/>
          <w:sz w:val="24"/>
          <w:szCs w:val="24"/>
          <w:lang w:eastAsia="en-US"/>
        </w:rPr>
      </w:pPr>
    </w:p>
    <w:p w:rsidR="005B4F5A" w:rsidRPr="005B4F5A" w:rsidRDefault="005B4F5A" w:rsidP="005B4F5A">
      <w:pPr>
        <w:autoSpaceDE w:val="0"/>
        <w:autoSpaceDN w:val="0"/>
        <w:adjustRightInd w:val="0"/>
        <w:spacing w:after="0" w:line="240" w:lineRule="auto"/>
        <w:rPr>
          <w:rFonts w:ascii="Calibri Light" w:eastAsia="Calibri" w:hAnsi="Calibri Light" w:cs="Tahoma,Bold"/>
          <w:b/>
          <w:bCs/>
          <w:sz w:val="24"/>
          <w:szCs w:val="24"/>
          <w:lang w:eastAsia="en-US"/>
        </w:rPr>
      </w:pPr>
      <w:r w:rsidRPr="005B4F5A">
        <w:rPr>
          <w:rFonts w:ascii="Calibri Light" w:eastAsia="Calibri" w:hAnsi="Calibri Light" w:cs="Tahoma,Bold"/>
          <w:b/>
          <w:bCs/>
          <w:sz w:val="24"/>
          <w:szCs w:val="24"/>
          <w:lang w:eastAsia="en-US"/>
        </w:rPr>
        <w:t>7.2 GESTÃO DO RISCO DE LIQUIDEZ</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lang w:eastAsia="en-US"/>
        </w:rPr>
        <w:t>O direcionamento dos investimentos priorizará fundos de investimentos com características de liquidez imediata (prazo de desinvestimento total de até 30 dias). A alocação em produtos com baixa liquidez somente será permitida, desde que avaliados os seguintes requisitos: nível de proteção do capital investido; lastro das operações do fundo; credibilidade da instituição financeira gestora do fundo de investimento, prazo de desinvestimento definido em regulamento.</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u w:val="single"/>
          <w:lang w:eastAsia="en-US"/>
        </w:rPr>
        <w:t>Vedado a alocação em fundos de investimento de prazo indeterminado, sem mecanismos de resgate total do capital, via o próprio fundo de investimento</w:t>
      </w:r>
      <w:r w:rsidRPr="005B4F5A">
        <w:rPr>
          <w:rFonts w:ascii="Calibri Light" w:eastAsia="Calibri" w:hAnsi="Calibri Light" w:cs="Tahoma,Bold"/>
          <w:bCs/>
          <w:sz w:val="24"/>
          <w:szCs w:val="24"/>
          <w:lang w:eastAsia="en-US"/>
        </w:rPr>
        <w:t>.</w:t>
      </w:r>
    </w:p>
    <w:p w:rsidR="005B4F5A" w:rsidRPr="005B4F5A" w:rsidRDefault="005B4F5A" w:rsidP="005B4F5A">
      <w:pPr>
        <w:autoSpaceDE w:val="0"/>
        <w:autoSpaceDN w:val="0"/>
        <w:adjustRightInd w:val="0"/>
        <w:spacing w:after="0" w:line="240" w:lineRule="auto"/>
        <w:rPr>
          <w:rFonts w:ascii="Calibri Light" w:eastAsia="Calibri" w:hAnsi="Calibri Light" w:cs="Tahoma,Bold"/>
          <w:b/>
          <w:bCs/>
          <w:sz w:val="24"/>
          <w:szCs w:val="24"/>
          <w:lang w:eastAsia="en-US"/>
        </w:rPr>
      </w:pPr>
    </w:p>
    <w:p w:rsidR="005B4F5A" w:rsidRPr="005B4F5A" w:rsidRDefault="005B4F5A" w:rsidP="005B4F5A">
      <w:pPr>
        <w:autoSpaceDE w:val="0"/>
        <w:autoSpaceDN w:val="0"/>
        <w:adjustRightInd w:val="0"/>
        <w:spacing w:after="0" w:line="240" w:lineRule="auto"/>
        <w:rPr>
          <w:rFonts w:ascii="Calibri Light" w:eastAsia="Calibri" w:hAnsi="Calibri Light" w:cs="Tahoma,Bold"/>
          <w:b/>
          <w:bCs/>
          <w:sz w:val="24"/>
          <w:szCs w:val="24"/>
          <w:lang w:eastAsia="en-US"/>
        </w:rPr>
      </w:pPr>
      <w:r w:rsidRPr="005B4F5A">
        <w:rPr>
          <w:rFonts w:ascii="Calibri Light" w:eastAsia="Calibri" w:hAnsi="Calibri Light" w:cs="Tahoma,Bold"/>
          <w:b/>
          <w:bCs/>
          <w:sz w:val="24"/>
          <w:szCs w:val="24"/>
          <w:lang w:eastAsia="en-US"/>
        </w:rPr>
        <w:t>8. INVESTIDOR QUALIFICADO / INVESTIDOR PROFISSIONAL – Portaria MPS 300/2015 e Portaria MF 01/2017</w:t>
      </w:r>
    </w:p>
    <w:p w:rsidR="005B4F5A" w:rsidRPr="005B4F5A" w:rsidRDefault="005B4F5A" w:rsidP="005B4F5A">
      <w:pPr>
        <w:autoSpaceDE w:val="0"/>
        <w:autoSpaceDN w:val="0"/>
        <w:adjustRightInd w:val="0"/>
        <w:spacing w:after="0" w:line="240" w:lineRule="auto"/>
        <w:rPr>
          <w:rFonts w:ascii="Calibri Light" w:eastAsia="Calibri" w:hAnsi="Calibri Light" w:cs="Tahoma,Bold"/>
          <w:b/>
          <w:bCs/>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lang w:eastAsia="en-US"/>
        </w:rPr>
        <w:t>Art. 6º-A. Será considerado investidor qualificado, para os fins da normatização estabelecida pela CVM, o RPPS que atenda cumulativamente aos seguintes requisitos:</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lang w:eastAsia="en-US"/>
        </w:rPr>
        <w:t xml:space="preserve">I - </w:t>
      </w:r>
      <w:proofErr w:type="gramStart"/>
      <w:r w:rsidRPr="005B4F5A">
        <w:rPr>
          <w:rFonts w:ascii="Calibri Light" w:eastAsia="Calibri" w:hAnsi="Calibri Light" w:cs="Tahoma,Bold"/>
          <w:bCs/>
          <w:sz w:val="24"/>
          <w:szCs w:val="24"/>
          <w:lang w:eastAsia="en-US"/>
        </w:rPr>
        <w:t>cujo</w:t>
      </w:r>
      <w:proofErr w:type="gramEnd"/>
      <w:r w:rsidRPr="005B4F5A">
        <w:rPr>
          <w:rFonts w:ascii="Calibri Light" w:eastAsia="Calibri" w:hAnsi="Calibri Light" w:cs="Tahoma,Bold"/>
          <w:bCs/>
          <w:sz w:val="24"/>
          <w:szCs w:val="24"/>
          <w:lang w:eastAsia="en-US"/>
        </w:rPr>
        <w:t xml:space="preserve"> ente federativo instituidor possua Certificado de Regularidade Previdenciária - CRP vigente na data da realização de cada aplicação exclusiva para tal categoria de investidor, pelo cumprimento das normas gerais de organização e funcionamento dos RPPS, estabelecidas na Lei nº 9.717/1998 e nos atos normativos dela decorrentes. </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lang w:eastAsia="en-US"/>
        </w:rPr>
        <w:t xml:space="preserve">II - </w:t>
      </w:r>
      <w:proofErr w:type="gramStart"/>
      <w:r w:rsidRPr="005B4F5A">
        <w:rPr>
          <w:rFonts w:ascii="Calibri Light" w:eastAsia="Calibri" w:hAnsi="Calibri Light" w:cs="Tahoma,Bold"/>
          <w:bCs/>
          <w:sz w:val="24"/>
          <w:szCs w:val="24"/>
          <w:lang w:eastAsia="en-US"/>
        </w:rPr>
        <w:t>possua</w:t>
      </w:r>
      <w:proofErr w:type="gramEnd"/>
      <w:r w:rsidRPr="005B4F5A">
        <w:rPr>
          <w:rFonts w:ascii="Calibri Light" w:eastAsia="Calibri" w:hAnsi="Calibri Light" w:cs="Tahoma,Bold"/>
          <w:bCs/>
          <w:sz w:val="24"/>
          <w:szCs w:val="24"/>
          <w:lang w:eastAsia="en-US"/>
        </w:rPr>
        <w:t xml:space="preserve"> recursos aplicados, informados no Demonstrativo das Aplicações e Investimentos dos Recursos - DAIR enviado à SPPS, do bimestre imediatamente anterior à data de realização de cada aplicação exclusiva para tal categoria de investidor, em montante igual ou superior a R$ 10.000.000,00 (dez milhões de reais). </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lang w:eastAsia="en-US"/>
        </w:rPr>
        <w:t xml:space="preserve"> </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lang w:eastAsia="en-US"/>
        </w:rPr>
        <w:t>III - comprove o efetivo funcionamento do Comitê de Investimentos, na forma do art. 3º-A. </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lang w:eastAsia="en-US"/>
        </w:rPr>
        <w:lastRenderedPageBreak/>
        <w:t xml:space="preserve">IV - </w:t>
      </w:r>
      <w:proofErr w:type="gramStart"/>
      <w:r w:rsidRPr="005B4F5A">
        <w:rPr>
          <w:rFonts w:ascii="Calibri Light" w:eastAsia="Calibri" w:hAnsi="Calibri Light" w:cs="Tahoma,Bold"/>
          <w:bCs/>
          <w:sz w:val="24"/>
          <w:szCs w:val="24"/>
          <w:lang w:eastAsia="en-US"/>
        </w:rPr>
        <w:t>tenha</w:t>
      </w:r>
      <w:proofErr w:type="gramEnd"/>
      <w:r w:rsidRPr="005B4F5A">
        <w:rPr>
          <w:rFonts w:ascii="Calibri Light" w:eastAsia="Calibri" w:hAnsi="Calibri Light" w:cs="Tahoma,Bold"/>
          <w:bCs/>
          <w:sz w:val="24"/>
          <w:szCs w:val="24"/>
          <w:lang w:eastAsia="en-US"/>
        </w:rPr>
        <w:t xml:space="preserve"> aderido ao Programa de Certificação Institucional e Modernização da Gestão dos Regimes Próprios de Previdência Social da União, dos Estados, do Distrito Federal e dos Municípios - "Pró-Gestão RPPS", instituído pela Portaria MPS nº 185, de 14 de maio de 2015, e obtido certificação institucional em um dos níveis de aderência nela estabelecidos. </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lang w:eastAsia="en-US"/>
        </w:rPr>
        <w:t> </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lang w:eastAsia="en-US"/>
        </w:rPr>
        <w:t> </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lang w:eastAsia="en-US"/>
        </w:rPr>
        <w:t>Parágrafo único. A classificação de RPPS como investidor profissional somente produzirá efeitos quando atendidos os requisitos de que tratam os incisos I a IV do caput, sendo vedada a aplicação de recursos em investimentos destinados a investidores profissionais pelos RPPS que não os cumpram integralmente.</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lang w:eastAsia="en-US"/>
        </w:rPr>
        <w:t> </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lang w:eastAsia="en-US"/>
        </w:rPr>
        <w:t> Art. 6º-B. Será considerado investidor profissional, para os fins da normatização estabelecida pela CVM, o RPPS que atenda cumulativamente aos seguintes requisitos:</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lang w:eastAsia="en-US"/>
        </w:rPr>
        <w:t xml:space="preserve"> </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lang w:eastAsia="en-US"/>
        </w:rPr>
        <w:t xml:space="preserve">I - </w:t>
      </w:r>
      <w:proofErr w:type="gramStart"/>
      <w:r w:rsidRPr="005B4F5A">
        <w:rPr>
          <w:rFonts w:ascii="Calibri Light" w:eastAsia="Calibri" w:hAnsi="Calibri Light" w:cs="Tahoma,Bold"/>
          <w:bCs/>
          <w:sz w:val="24"/>
          <w:szCs w:val="24"/>
          <w:lang w:eastAsia="en-US"/>
        </w:rPr>
        <w:t>cujo</w:t>
      </w:r>
      <w:proofErr w:type="gramEnd"/>
      <w:r w:rsidRPr="005B4F5A">
        <w:rPr>
          <w:rFonts w:ascii="Calibri Light" w:eastAsia="Calibri" w:hAnsi="Calibri Light" w:cs="Tahoma,Bold"/>
          <w:bCs/>
          <w:sz w:val="24"/>
          <w:szCs w:val="24"/>
          <w:lang w:eastAsia="en-US"/>
        </w:rPr>
        <w:t xml:space="preserve"> ente federativo instituidor possua Certificado de Regularidade Previdenciária - CRP vigente na data da realização de cada aplicação exclusiva para tal categoria de investidor, pelo cumprimento das normas gerais de organização e funcionamento dos RPPS, estabelecidas na Lei nº 9.717/1998 e nos atos normativos dela decorrentes. </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lang w:eastAsia="en-US"/>
        </w:rPr>
        <w:t xml:space="preserve">II - </w:t>
      </w:r>
      <w:proofErr w:type="gramStart"/>
      <w:r w:rsidRPr="005B4F5A">
        <w:rPr>
          <w:rFonts w:ascii="Calibri Light" w:eastAsia="Calibri" w:hAnsi="Calibri Light" w:cs="Tahoma,Bold"/>
          <w:bCs/>
          <w:sz w:val="24"/>
          <w:szCs w:val="24"/>
          <w:lang w:eastAsia="en-US"/>
        </w:rPr>
        <w:t>possua</w:t>
      </w:r>
      <w:proofErr w:type="gramEnd"/>
      <w:r w:rsidRPr="005B4F5A">
        <w:rPr>
          <w:rFonts w:ascii="Calibri Light" w:eastAsia="Calibri" w:hAnsi="Calibri Light" w:cs="Tahoma,Bold"/>
          <w:bCs/>
          <w:sz w:val="24"/>
          <w:szCs w:val="24"/>
          <w:lang w:eastAsia="en-US"/>
        </w:rPr>
        <w:t xml:space="preserve"> recursos aplicados, informados no Demonstrativo das Aplicações e Investimentos dos Recursos - DAIR enviado à SPPS, do bimestre imediatamente anterior à data de realização de cada aplicação exclusiva para tal categoria de investidor, em montante igual ou superior a R$ 1.000.000.000,00 (um bilhão de reais). </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lang w:eastAsia="en-US"/>
        </w:rPr>
        <w:t xml:space="preserve">III - comprove o efetivo funcionamento do Comitê de Investimentos, na forma do art. 3º-A. </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lang w:eastAsia="en-US"/>
        </w:rPr>
        <w:t xml:space="preserve">IV - </w:t>
      </w:r>
      <w:proofErr w:type="gramStart"/>
      <w:r w:rsidRPr="005B4F5A">
        <w:rPr>
          <w:rFonts w:ascii="Calibri Light" w:eastAsia="Calibri" w:hAnsi="Calibri Light" w:cs="Tahoma,Bold"/>
          <w:bCs/>
          <w:sz w:val="24"/>
          <w:szCs w:val="24"/>
          <w:lang w:eastAsia="en-US"/>
        </w:rPr>
        <w:t>tenha</w:t>
      </w:r>
      <w:proofErr w:type="gramEnd"/>
      <w:r w:rsidRPr="005B4F5A">
        <w:rPr>
          <w:rFonts w:ascii="Calibri Light" w:eastAsia="Calibri" w:hAnsi="Calibri Light" w:cs="Tahoma,Bold"/>
          <w:bCs/>
          <w:sz w:val="24"/>
          <w:szCs w:val="24"/>
          <w:lang w:eastAsia="en-US"/>
        </w:rPr>
        <w:t xml:space="preserve"> aderido ao Programa de Certificação Institucional e Modernização da Gestão dos Regimes Próprios de Previdência Social da União, dos Estados, do Distrito Federal e dos Municípios - "Pró-Gestão RPPS", instituído pela Portaria MPS nº 185, de 14 de maio de 2015, e obtido certificação institucional no quarto nível de aderência nela estabelecido.</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r w:rsidRPr="005B4F5A">
        <w:rPr>
          <w:rFonts w:ascii="Calibri Light" w:eastAsia="Calibri" w:hAnsi="Calibri Light" w:cs="Tahoma,Bold"/>
          <w:bCs/>
          <w:sz w:val="24"/>
          <w:szCs w:val="24"/>
          <w:lang w:eastAsia="en-US"/>
        </w:rPr>
        <w:t>Art. 6º-C. A classificação do RPPS como investidor qualificado ou investidor profissional, na forma dos art. 6º-A e 6º-B, não exime seus representantes legais, dirigentes, responsáveis pela gestão dos recursos e membros dos órgãos de deliberação colegiada da responsabilidade pela adoção de elevados padrões éticos e técnicos na governança e controle das operações e pela observância das condições de segurança, rentabilidade, solvência, liquidez e transparência na aplicação dos recursos, segundo o disposto em Resolução do CMN. </w:t>
      </w: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Cs/>
          <w:sz w:val="24"/>
          <w:szCs w:val="24"/>
          <w:lang w:eastAsia="en-US"/>
        </w:rPr>
      </w:pPr>
    </w:p>
    <w:p w:rsidR="005B4F5A" w:rsidRPr="005B4F5A" w:rsidRDefault="005B4F5A" w:rsidP="005B4F5A">
      <w:pPr>
        <w:autoSpaceDE w:val="0"/>
        <w:autoSpaceDN w:val="0"/>
        <w:adjustRightInd w:val="0"/>
        <w:spacing w:after="0" w:line="240" w:lineRule="auto"/>
        <w:rPr>
          <w:rFonts w:ascii="Calibri Light" w:eastAsia="Calibri" w:hAnsi="Calibri Light" w:cs="Tahoma,Bold"/>
          <w:bCs/>
          <w:lang w:eastAsia="en-US"/>
        </w:rPr>
      </w:pPr>
      <w:r w:rsidRPr="005B4F5A">
        <w:rPr>
          <w:rFonts w:ascii="Calibri Light" w:eastAsia="Calibri" w:hAnsi="Calibri Light" w:cs="Tahoma,Bold"/>
          <w:bCs/>
          <w:lang w:eastAsia="en-US"/>
        </w:rPr>
        <w:t xml:space="preserve">Muriaé (MG), </w:t>
      </w:r>
      <w:r>
        <w:rPr>
          <w:rFonts w:ascii="Calibri Light" w:eastAsia="Calibri" w:hAnsi="Calibri Light" w:cs="Tahoma,Bold"/>
          <w:bCs/>
          <w:lang w:eastAsia="en-US"/>
        </w:rPr>
        <w:t>18</w:t>
      </w:r>
      <w:r w:rsidRPr="005B4F5A">
        <w:rPr>
          <w:rFonts w:ascii="Calibri Light" w:eastAsia="Calibri" w:hAnsi="Calibri Light" w:cs="Tahoma,Bold"/>
          <w:bCs/>
          <w:lang w:eastAsia="en-US"/>
        </w:rPr>
        <w:t xml:space="preserve"> de janeiro de 2022.</w:t>
      </w:r>
    </w:p>
    <w:p w:rsidR="005B4F5A" w:rsidRPr="005B4F5A" w:rsidRDefault="005B4F5A" w:rsidP="005B4F5A">
      <w:pPr>
        <w:autoSpaceDE w:val="0"/>
        <w:autoSpaceDN w:val="0"/>
        <w:adjustRightInd w:val="0"/>
        <w:spacing w:after="0" w:line="240" w:lineRule="auto"/>
        <w:rPr>
          <w:rFonts w:ascii="Calibri Light" w:eastAsia="Calibri" w:hAnsi="Calibri Light" w:cs="Tahoma,Bold"/>
          <w:bCs/>
          <w:lang w:eastAsia="en-US"/>
        </w:rPr>
      </w:pPr>
    </w:p>
    <w:p w:rsidR="005B4F5A" w:rsidRPr="005B4F5A" w:rsidRDefault="005B4F5A" w:rsidP="005B4F5A">
      <w:pPr>
        <w:autoSpaceDE w:val="0"/>
        <w:autoSpaceDN w:val="0"/>
        <w:adjustRightInd w:val="0"/>
        <w:spacing w:after="0" w:line="240" w:lineRule="auto"/>
        <w:rPr>
          <w:rFonts w:ascii="Calibri Light" w:eastAsia="Calibri" w:hAnsi="Calibri Light" w:cs="Tahoma,Bold"/>
          <w:bCs/>
          <w:lang w:eastAsia="en-US"/>
        </w:rPr>
      </w:pPr>
    </w:p>
    <w:p w:rsidR="005B4F5A" w:rsidRPr="005B4F5A" w:rsidRDefault="005B4F5A" w:rsidP="005B4F5A">
      <w:pPr>
        <w:autoSpaceDE w:val="0"/>
        <w:autoSpaceDN w:val="0"/>
        <w:adjustRightInd w:val="0"/>
        <w:spacing w:after="0" w:line="240" w:lineRule="auto"/>
        <w:jc w:val="center"/>
        <w:rPr>
          <w:rFonts w:ascii="Calibri Light" w:eastAsia="Calibri" w:hAnsi="Calibri Light" w:cs="Times New Roman"/>
          <w:b/>
          <w:sz w:val="24"/>
          <w:szCs w:val="24"/>
          <w:lang w:eastAsia="en-US"/>
        </w:rPr>
      </w:pPr>
      <w:r w:rsidRPr="005B4F5A">
        <w:rPr>
          <w:rFonts w:ascii="Calibri Light" w:eastAsia="Calibri" w:hAnsi="Calibri Light" w:cs="Times New Roman"/>
          <w:b/>
          <w:sz w:val="24"/>
          <w:szCs w:val="24"/>
          <w:lang w:eastAsia="en-US"/>
        </w:rPr>
        <w:lastRenderedPageBreak/>
        <w:t>ANEXO I - COMPARATIVO RESOLUÇÃO 3.922 e 4.963 QUADRO DE-PARA</w:t>
      </w:r>
    </w:p>
    <w:tbl>
      <w:tblPr>
        <w:tblStyle w:val="Tabelacomgrade"/>
        <w:tblpPr w:leftFromText="141" w:rightFromText="141" w:vertAnchor="page" w:horzAnchor="page" w:tblpX="3133" w:tblpY="1786"/>
        <w:tblW w:w="0" w:type="auto"/>
        <w:tblLook w:val="04A0" w:firstRow="1" w:lastRow="0" w:firstColumn="1" w:lastColumn="0" w:noHBand="0" w:noVBand="1"/>
      </w:tblPr>
      <w:tblGrid>
        <w:gridCol w:w="2235"/>
        <w:gridCol w:w="3294"/>
        <w:gridCol w:w="3793"/>
      </w:tblGrid>
      <w:tr w:rsidR="00776AED" w:rsidTr="00990334">
        <w:tc>
          <w:tcPr>
            <w:tcW w:w="2235" w:type="dxa"/>
          </w:tcPr>
          <w:p w:rsidR="00776AED" w:rsidRPr="00AE67F5" w:rsidRDefault="00952C6D"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 xml:space="preserve">  </w:t>
            </w:r>
          </w:p>
        </w:tc>
        <w:tc>
          <w:tcPr>
            <w:tcW w:w="3294" w:type="dxa"/>
          </w:tcPr>
          <w:p w:rsidR="00776AED" w:rsidRPr="00AE67F5" w:rsidRDefault="00776AE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RESOLUÇÃO CMN Nº 3.922/2010</w:t>
            </w:r>
          </w:p>
        </w:tc>
        <w:tc>
          <w:tcPr>
            <w:tcW w:w="3793" w:type="dxa"/>
          </w:tcPr>
          <w:p w:rsidR="00776AED" w:rsidRPr="00AE67F5" w:rsidRDefault="00776AE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RESOLUÇÃO CMN Nº 4.963/2021</w:t>
            </w:r>
          </w:p>
        </w:tc>
      </w:tr>
      <w:tr w:rsidR="00C61F6D" w:rsidTr="00990334">
        <w:tc>
          <w:tcPr>
            <w:tcW w:w="2235" w:type="dxa"/>
            <w:vMerge w:val="restart"/>
          </w:tcPr>
          <w:p w:rsidR="00C61F6D" w:rsidRDefault="00C61F6D" w:rsidP="00990334">
            <w:pPr>
              <w:autoSpaceDE w:val="0"/>
              <w:autoSpaceDN w:val="0"/>
              <w:adjustRightInd w:val="0"/>
              <w:jc w:val="center"/>
              <w:rPr>
                <w:rFonts w:eastAsia="Calibri" w:cstheme="minorHAnsi"/>
                <w:sz w:val="24"/>
                <w:szCs w:val="24"/>
                <w:lang w:eastAsia="en-US"/>
              </w:rPr>
            </w:pPr>
          </w:p>
          <w:p w:rsidR="00C61F6D" w:rsidRDefault="00C61F6D" w:rsidP="00990334">
            <w:pPr>
              <w:autoSpaceDE w:val="0"/>
              <w:autoSpaceDN w:val="0"/>
              <w:adjustRightInd w:val="0"/>
              <w:jc w:val="center"/>
              <w:rPr>
                <w:rFonts w:eastAsia="Calibri" w:cstheme="minorHAnsi"/>
                <w:sz w:val="24"/>
                <w:szCs w:val="24"/>
                <w:lang w:eastAsia="en-US"/>
              </w:rPr>
            </w:pPr>
          </w:p>
          <w:p w:rsidR="00C61F6D" w:rsidRDefault="00C61F6D" w:rsidP="00990334">
            <w:pPr>
              <w:autoSpaceDE w:val="0"/>
              <w:autoSpaceDN w:val="0"/>
              <w:adjustRightInd w:val="0"/>
              <w:jc w:val="center"/>
              <w:rPr>
                <w:rFonts w:eastAsia="Calibri" w:cstheme="minorHAnsi"/>
                <w:sz w:val="24"/>
                <w:szCs w:val="24"/>
                <w:lang w:eastAsia="en-US"/>
              </w:rPr>
            </w:pPr>
          </w:p>
          <w:p w:rsidR="00C61F6D" w:rsidRDefault="00C61F6D" w:rsidP="00990334">
            <w:pPr>
              <w:autoSpaceDE w:val="0"/>
              <w:autoSpaceDN w:val="0"/>
              <w:adjustRightInd w:val="0"/>
              <w:jc w:val="center"/>
              <w:rPr>
                <w:rFonts w:eastAsia="Calibri" w:cstheme="minorHAnsi"/>
                <w:sz w:val="24"/>
                <w:szCs w:val="24"/>
                <w:lang w:eastAsia="en-US"/>
              </w:rPr>
            </w:pPr>
          </w:p>
          <w:p w:rsidR="00C61F6D" w:rsidRDefault="00C61F6D" w:rsidP="00990334">
            <w:pPr>
              <w:autoSpaceDE w:val="0"/>
              <w:autoSpaceDN w:val="0"/>
              <w:adjustRightInd w:val="0"/>
              <w:jc w:val="center"/>
              <w:rPr>
                <w:rFonts w:eastAsia="Calibri" w:cstheme="minorHAnsi"/>
                <w:sz w:val="24"/>
                <w:szCs w:val="24"/>
                <w:lang w:eastAsia="en-US"/>
              </w:rPr>
            </w:pPr>
          </w:p>
          <w:p w:rsidR="00C61F6D" w:rsidRDefault="00C61F6D" w:rsidP="00990334">
            <w:pPr>
              <w:autoSpaceDE w:val="0"/>
              <w:autoSpaceDN w:val="0"/>
              <w:adjustRightInd w:val="0"/>
              <w:jc w:val="center"/>
              <w:rPr>
                <w:rFonts w:eastAsia="Calibri" w:cstheme="minorHAnsi"/>
                <w:sz w:val="24"/>
                <w:szCs w:val="24"/>
                <w:lang w:eastAsia="en-US"/>
              </w:rPr>
            </w:pPr>
          </w:p>
          <w:p w:rsidR="00C61F6D" w:rsidRDefault="00C61F6D" w:rsidP="00990334">
            <w:pPr>
              <w:autoSpaceDE w:val="0"/>
              <w:autoSpaceDN w:val="0"/>
              <w:adjustRightInd w:val="0"/>
              <w:jc w:val="center"/>
              <w:rPr>
                <w:rFonts w:eastAsia="Calibri" w:cstheme="minorHAnsi"/>
                <w:sz w:val="24"/>
                <w:szCs w:val="24"/>
                <w:lang w:eastAsia="en-US"/>
              </w:rPr>
            </w:pPr>
          </w:p>
          <w:p w:rsidR="00C61F6D" w:rsidRPr="00AE67F5" w:rsidRDefault="00C61F6D"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RENDA FIXA</w:t>
            </w:r>
          </w:p>
        </w:tc>
        <w:tc>
          <w:tcPr>
            <w:tcW w:w="3294"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7º, I, a</w:t>
            </w:r>
          </w:p>
        </w:tc>
        <w:tc>
          <w:tcPr>
            <w:tcW w:w="3793"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7º, I, a</w:t>
            </w:r>
          </w:p>
        </w:tc>
      </w:tr>
      <w:tr w:rsidR="00C61F6D" w:rsidTr="00990334">
        <w:tc>
          <w:tcPr>
            <w:tcW w:w="2235" w:type="dxa"/>
            <w:vMerge/>
          </w:tcPr>
          <w:p w:rsidR="00C61F6D" w:rsidRPr="00AE67F5" w:rsidRDefault="00C61F6D" w:rsidP="00990334">
            <w:pPr>
              <w:autoSpaceDE w:val="0"/>
              <w:autoSpaceDN w:val="0"/>
              <w:adjustRightInd w:val="0"/>
              <w:jc w:val="center"/>
              <w:rPr>
                <w:rFonts w:eastAsia="Calibri" w:cstheme="minorHAnsi"/>
                <w:sz w:val="24"/>
                <w:szCs w:val="24"/>
                <w:lang w:eastAsia="en-US"/>
              </w:rPr>
            </w:pPr>
          </w:p>
        </w:tc>
        <w:tc>
          <w:tcPr>
            <w:tcW w:w="3294"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7º, I, b</w:t>
            </w:r>
          </w:p>
        </w:tc>
        <w:tc>
          <w:tcPr>
            <w:tcW w:w="3793"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7º, I, b</w:t>
            </w:r>
          </w:p>
        </w:tc>
      </w:tr>
      <w:tr w:rsidR="00C61F6D" w:rsidTr="00990334">
        <w:tc>
          <w:tcPr>
            <w:tcW w:w="2235" w:type="dxa"/>
            <w:vMerge/>
          </w:tcPr>
          <w:p w:rsidR="00C61F6D" w:rsidRPr="00AE67F5" w:rsidRDefault="00C61F6D" w:rsidP="00990334">
            <w:pPr>
              <w:autoSpaceDE w:val="0"/>
              <w:autoSpaceDN w:val="0"/>
              <w:adjustRightInd w:val="0"/>
              <w:jc w:val="center"/>
              <w:rPr>
                <w:rFonts w:eastAsia="Calibri" w:cstheme="minorHAnsi"/>
                <w:sz w:val="24"/>
                <w:szCs w:val="24"/>
                <w:lang w:eastAsia="en-US"/>
              </w:rPr>
            </w:pPr>
          </w:p>
        </w:tc>
        <w:tc>
          <w:tcPr>
            <w:tcW w:w="3294"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7º, I, c</w:t>
            </w:r>
          </w:p>
        </w:tc>
        <w:tc>
          <w:tcPr>
            <w:tcW w:w="3793"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7º, I, c</w:t>
            </w:r>
          </w:p>
        </w:tc>
      </w:tr>
      <w:tr w:rsidR="00C61F6D" w:rsidTr="00990334">
        <w:tc>
          <w:tcPr>
            <w:tcW w:w="2235" w:type="dxa"/>
            <w:vMerge/>
          </w:tcPr>
          <w:p w:rsidR="00C61F6D" w:rsidRPr="00AE67F5" w:rsidRDefault="00C61F6D" w:rsidP="00990334">
            <w:pPr>
              <w:autoSpaceDE w:val="0"/>
              <w:autoSpaceDN w:val="0"/>
              <w:adjustRightInd w:val="0"/>
              <w:jc w:val="center"/>
              <w:rPr>
                <w:rFonts w:eastAsia="Calibri" w:cstheme="minorHAnsi"/>
                <w:sz w:val="24"/>
                <w:szCs w:val="24"/>
                <w:lang w:eastAsia="en-US"/>
              </w:rPr>
            </w:pPr>
          </w:p>
        </w:tc>
        <w:tc>
          <w:tcPr>
            <w:tcW w:w="3294"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7º, II</w:t>
            </w:r>
          </w:p>
        </w:tc>
        <w:tc>
          <w:tcPr>
            <w:tcW w:w="3793"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7º, II</w:t>
            </w:r>
          </w:p>
        </w:tc>
      </w:tr>
      <w:tr w:rsidR="00C61F6D" w:rsidTr="00990334">
        <w:tc>
          <w:tcPr>
            <w:tcW w:w="2235" w:type="dxa"/>
            <w:vMerge/>
          </w:tcPr>
          <w:p w:rsidR="00C61F6D" w:rsidRPr="00AE67F5" w:rsidRDefault="00C61F6D" w:rsidP="00990334">
            <w:pPr>
              <w:autoSpaceDE w:val="0"/>
              <w:autoSpaceDN w:val="0"/>
              <w:adjustRightInd w:val="0"/>
              <w:jc w:val="center"/>
              <w:rPr>
                <w:rFonts w:eastAsia="Calibri" w:cstheme="minorHAnsi"/>
                <w:sz w:val="24"/>
                <w:szCs w:val="24"/>
                <w:lang w:eastAsia="en-US"/>
              </w:rPr>
            </w:pPr>
          </w:p>
        </w:tc>
        <w:tc>
          <w:tcPr>
            <w:tcW w:w="3294"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7º, III, a</w:t>
            </w:r>
          </w:p>
        </w:tc>
        <w:tc>
          <w:tcPr>
            <w:tcW w:w="3793"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7º, III, a</w:t>
            </w:r>
          </w:p>
        </w:tc>
      </w:tr>
      <w:tr w:rsidR="00C61F6D" w:rsidTr="00990334">
        <w:tc>
          <w:tcPr>
            <w:tcW w:w="2235" w:type="dxa"/>
            <w:vMerge/>
          </w:tcPr>
          <w:p w:rsidR="00C61F6D" w:rsidRPr="00AE67F5" w:rsidRDefault="00C61F6D" w:rsidP="00990334">
            <w:pPr>
              <w:autoSpaceDE w:val="0"/>
              <w:autoSpaceDN w:val="0"/>
              <w:adjustRightInd w:val="0"/>
              <w:jc w:val="center"/>
              <w:rPr>
                <w:rFonts w:eastAsia="Calibri" w:cstheme="minorHAnsi"/>
                <w:sz w:val="24"/>
                <w:szCs w:val="24"/>
                <w:lang w:eastAsia="en-US"/>
              </w:rPr>
            </w:pPr>
          </w:p>
        </w:tc>
        <w:tc>
          <w:tcPr>
            <w:tcW w:w="3294"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w:t>
            </w:r>
            <w:r w:rsidRPr="00AE67F5">
              <w:rPr>
                <w:rFonts w:eastAsia="Calibri" w:cstheme="minorHAnsi"/>
                <w:sz w:val="24"/>
                <w:szCs w:val="24"/>
                <w:lang w:eastAsia="en-US"/>
              </w:rPr>
              <w:t>º, III, b</w:t>
            </w:r>
          </w:p>
        </w:tc>
        <w:tc>
          <w:tcPr>
            <w:tcW w:w="3793"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w:t>
            </w:r>
            <w:r w:rsidRPr="00AE67F5">
              <w:rPr>
                <w:rFonts w:eastAsia="Calibri" w:cstheme="minorHAnsi"/>
                <w:sz w:val="24"/>
                <w:szCs w:val="24"/>
                <w:lang w:eastAsia="en-US"/>
              </w:rPr>
              <w:t>º, III, b</w:t>
            </w:r>
          </w:p>
        </w:tc>
      </w:tr>
      <w:tr w:rsidR="00C61F6D" w:rsidTr="00990334">
        <w:tc>
          <w:tcPr>
            <w:tcW w:w="2235" w:type="dxa"/>
            <w:vMerge/>
          </w:tcPr>
          <w:p w:rsidR="00C61F6D" w:rsidRPr="00AE67F5" w:rsidRDefault="00C61F6D" w:rsidP="00990334">
            <w:pPr>
              <w:autoSpaceDE w:val="0"/>
              <w:autoSpaceDN w:val="0"/>
              <w:adjustRightInd w:val="0"/>
              <w:jc w:val="center"/>
              <w:rPr>
                <w:rFonts w:eastAsia="Calibri" w:cstheme="minorHAnsi"/>
                <w:sz w:val="24"/>
                <w:szCs w:val="24"/>
                <w:lang w:eastAsia="en-US"/>
              </w:rPr>
            </w:pPr>
          </w:p>
        </w:tc>
        <w:tc>
          <w:tcPr>
            <w:tcW w:w="3294"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w:t>
            </w:r>
            <w:r w:rsidRPr="00AE67F5">
              <w:rPr>
                <w:rFonts w:eastAsia="Calibri" w:cstheme="minorHAnsi"/>
                <w:sz w:val="24"/>
                <w:szCs w:val="24"/>
                <w:lang w:eastAsia="en-US"/>
              </w:rPr>
              <w:t>º, IV</w:t>
            </w:r>
            <w:r w:rsidRPr="00AE67F5">
              <w:rPr>
                <w:rFonts w:eastAsia="Calibri" w:cstheme="minorHAnsi"/>
                <w:sz w:val="24"/>
                <w:szCs w:val="24"/>
                <w:lang w:eastAsia="en-US"/>
              </w:rPr>
              <w:t>, a</w:t>
            </w:r>
          </w:p>
        </w:tc>
        <w:tc>
          <w:tcPr>
            <w:tcW w:w="3793"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w:t>
            </w:r>
            <w:r w:rsidRPr="00AE67F5">
              <w:rPr>
                <w:rFonts w:eastAsia="Calibri" w:cstheme="minorHAnsi"/>
                <w:sz w:val="24"/>
                <w:szCs w:val="24"/>
                <w:lang w:eastAsia="en-US"/>
              </w:rPr>
              <w:t>º, III</w:t>
            </w:r>
            <w:r w:rsidRPr="00AE67F5">
              <w:rPr>
                <w:rFonts w:eastAsia="Calibri" w:cstheme="minorHAnsi"/>
                <w:sz w:val="24"/>
                <w:szCs w:val="24"/>
                <w:lang w:eastAsia="en-US"/>
              </w:rPr>
              <w:t>, a</w:t>
            </w:r>
          </w:p>
        </w:tc>
      </w:tr>
      <w:tr w:rsidR="00C61F6D" w:rsidTr="00990334">
        <w:tc>
          <w:tcPr>
            <w:tcW w:w="2235" w:type="dxa"/>
            <w:vMerge/>
          </w:tcPr>
          <w:p w:rsidR="00C61F6D" w:rsidRPr="00AE67F5" w:rsidRDefault="00C61F6D" w:rsidP="00990334">
            <w:pPr>
              <w:autoSpaceDE w:val="0"/>
              <w:autoSpaceDN w:val="0"/>
              <w:adjustRightInd w:val="0"/>
              <w:jc w:val="center"/>
              <w:rPr>
                <w:rFonts w:eastAsia="Calibri" w:cstheme="minorHAnsi"/>
                <w:sz w:val="24"/>
                <w:szCs w:val="24"/>
                <w:lang w:eastAsia="en-US"/>
              </w:rPr>
            </w:pPr>
          </w:p>
        </w:tc>
        <w:tc>
          <w:tcPr>
            <w:tcW w:w="3294"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w:t>
            </w:r>
            <w:r w:rsidRPr="00AE67F5">
              <w:rPr>
                <w:rFonts w:eastAsia="Calibri" w:cstheme="minorHAnsi"/>
                <w:sz w:val="24"/>
                <w:szCs w:val="24"/>
                <w:lang w:eastAsia="en-US"/>
              </w:rPr>
              <w:t>º, IV, b</w:t>
            </w:r>
          </w:p>
        </w:tc>
        <w:tc>
          <w:tcPr>
            <w:tcW w:w="3793"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w:t>
            </w:r>
            <w:r w:rsidRPr="00AE67F5">
              <w:rPr>
                <w:rFonts w:eastAsia="Calibri" w:cstheme="minorHAnsi"/>
                <w:sz w:val="24"/>
                <w:szCs w:val="24"/>
                <w:lang w:eastAsia="en-US"/>
              </w:rPr>
              <w:t>º, III</w:t>
            </w:r>
            <w:r w:rsidRPr="00AE67F5">
              <w:rPr>
                <w:rFonts w:eastAsia="Calibri" w:cstheme="minorHAnsi"/>
                <w:sz w:val="24"/>
                <w:szCs w:val="24"/>
                <w:lang w:eastAsia="en-US"/>
              </w:rPr>
              <w:t>, b</w:t>
            </w:r>
          </w:p>
        </w:tc>
      </w:tr>
      <w:tr w:rsidR="00C61F6D" w:rsidTr="00990334">
        <w:tc>
          <w:tcPr>
            <w:tcW w:w="2235" w:type="dxa"/>
            <w:vMerge/>
          </w:tcPr>
          <w:p w:rsidR="00C61F6D" w:rsidRPr="00AE67F5" w:rsidRDefault="00C61F6D" w:rsidP="00990334">
            <w:pPr>
              <w:autoSpaceDE w:val="0"/>
              <w:autoSpaceDN w:val="0"/>
              <w:adjustRightInd w:val="0"/>
              <w:jc w:val="center"/>
              <w:rPr>
                <w:rFonts w:eastAsia="Calibri" w:cstheme="minorHAnsi"/>
                <w:sz w:val="24"/>
                <w:szCs w:val="24"/>
                <w:lang w:eastAsia="en-US"/>
              </w:rPr>
            </w:pPr>
          </w:p>
        </w:tc>
        <w:tc>
          <w:tcPr>
            <w:tcW w:w="3294"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w:t>
            </w:r>
            <w:r w:rsidRPr="00AE67F5">
              <w:rPr>
                <w:rFonts w:eastAsia="Calibri" w:cstheme="minorHAnsi"/>
                <w:sz w:val="24"/>
                <w:szCs w:val="24"/>
                <w:lang w:eastAsia="en-US"/>
              </w:rPr>
              <w:t xml:space="preserve">º, </w:t>
            </w:r>
            <w:r w:rsidRPr="00AE67F5">
              <w:rPr>
                <w:rFonts w:eastAsia="Calibri" w:cstheme="minorHAnsi"/>
                <w:sz w:val="24"/>
                <w:szCs w:val="24"/>
                <w:lang w:eastAsia="en-US"/>
              </w:rPr>
              <w:t>V, b</w:t>
            </w:r>
          </w:p>
        </w:tc>
        <w:tc>
          <w:tcPr>
            <w:tcW w:w="3793"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w:t>
            </w:r>
            <w:r w:rsidRPr="00AE67F5">
              <w:rPr>
                <w:rFonts w:eastAsia="Calibri" w:cstheme="minorHAnsi"/>
                <w:sz w:val="24"/>
                <w:szCs w:val="24"/>
                <w:lang w:eastAsia="en-US"/>
              </w:rPr>
              <w:t>º, IV</w:t>
            </w:r>
          </w:p>
        </w:tc>
      </w:tr>
      <w:tr w:rsidR="00C61F6D" w:rsidTr="00990334">
        <w:tc>
          <w:tcPr>
            <w:tcW w:w="2235" w:type="dxa"/>
            <w:vMerge/>
          </w:tcPr>
          <w:p w:rsidR="00C61F6D" w:rsidRPr="00AE67F5" w:rsidRDefault="00C61F6D" w:rsidP="00990334">
            <w:pPr>
              <w:autoSpaceDE w:val="0"/>
              <w:autoSpaceDN w:val="0"/>
              <w:adjustRightInd w:val="0"/>
              <w:jc w:val="center"/>
              <w:rPr>
                <w:rFonts w:eastAsia="Calibri" w:cstheme="minorHAnsi"/>
                <w:sz w:val="24"/>
                <w:szCs w:val="24"/>
                <w:lang w:eastAsia="en-US"/>
              </w:rPr>
            </w:pPr>
          </w:p>
        </w:tc>
        <w:tc>
          <w:tcPr>
            <w:tcW w:w="3294"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w:t>
            </w:r>
            <w:r w:rsidRPr="00AE67F5">
              <w:rPr>
                <w:rFonts w:eastAsia="Calibri" w:cstheme="minorHAnsi"/>
                <w:sz w:val="24"/>
                <w:szCs w:val="24"/>
                <w:lang w:eastAsia="en-US"/>
              </w:rPr>
              <w:t>º, VI, a</w:t>
            </w:r>
          </w:p>
        </w:tc>
        <w:tc>
          <w:tcPr>
            <w:tcW w:w="3793"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7º, IV</w:t>
            </w:r>
          </w:p>
        </w:tc>
      </w:tr>
      <w:tr w:rsidR="00C61F6D" w:rsidTr="00990334">
        <w:tc>
          <w:tcPr>
            <w:tcW w:w="2235" w:type="dxa"/>
            <w:vMerge/>
          </w:tcPr>
          <w:p w:rsidR="00C61F6D" w:rsidRPr="00AE67F5" w:rsidRDefault="00C61F6D" w:rsidP="00990334">
            <w:pPr>
              <w:autoSpaceDE w:val="0"/>
              <w:autoSpaceDN w:val="0"/>
              <w:adjustRightInd w:val="0"/>
              <w:jc w:val="center"/>
              <w:rPr>
                <w:rFonts w:eastAsia="Calibri" w:cstheme="minorHAnsi"/>
                <w:sz w:val="24"/>
                <w:szCs w:val="24"/>
                <w:lang w:eastAsia="en-US"/>
              </w:rPr>
            </w:pPr>
          </w:p>
        </w:tc>
        <w:tc>
          <w:tcPr>
            <w:tcW w:w="3294"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7º, IV, b</w:t>
            </w:r>
          </w:p>
        </w:tc>
        <w:tc>
          <w:tcPr>
            <w:tcW w:w="3793"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26 (poupança passa a receber o mesmo tratamento de disponibilidade financeira).</w:t>
            </w:r>
          </w:p>
        </w:tc>
      </w:tr>
      <w:tr w:rsidR="00C61F6D" w:rsidTr="00990334">
        <w:tc>
          <w:tcPr>
            <w:tcW w:w="2235" w:type="dxa"/>
            <w:vMerge/>
          </w:tcPr>
          <w:p w:rsidR="00C61F6D" w:rsidRPr="00AE67F5" w:rsidRDefault="00C61F6D" w:rsidP="00990334">
            <w:pPr>
              <w:autoSpaceDE w:val="0"/>
              <w:autoSpaceDN w:val="0"/>
              <w:adjustRightInd w:val="0"/>
              <w:jc w:val="center"/>
              <w:rPr>
                <w:rFonts w:eastAsia="Calibri" w:cstheme="minorHAnsi"/>
                <w:sz w:val="24"/>
                <w:szCs w:val="24"/>
                <w:lang w:eastAsia="en-US"/>
              </w:rPr>
            </w:pPr>
          </w:p>
        </w:tc>
        <w:tc>
          <w:tcPr>
            <w:tcW w:w="3294"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7º, VI</w:t>
            </w:r>
            <w:r w:rsidRPr="00AE67F5">
              <w:rPr>
                <w:rFonts w:eastAsia="Calibri" w:cstheme="minorHAnsi"/>
                <w:sz w:val="24"/>
                <w:szCs w:val="24"/>
                <w:lang w:eastAsia="en-US"/>
              </w:rPr>
              <w:t>I</w:t>
            </w:r>
            <w:r w:rsidRPr="00AE67F5">
              <w:rPr>
                <w:rFonts w:eastAsia="Calibri" w:cstheme="minorHAnsi"/>
                <w:sz w:val="24"/>
                <w:szCs w:val="24"/>
                <w:lang w:eastAsia="en-US"/>
              </w:rPr>
              <w:t>, a</w:t>
            </w:r>
          </w:p>
        </w:tc>
        <w:tc>
          <w:tcPr>
            <w:tcW w:w="3793"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 xml:space="preserve">Art. 7º, </w:t>
            </w:r>
            <w:r w:rsidRPr="00AE67F5">
              <w:rPr>
                <w:rFonts w:eastAsia="Calibri" w:cstheme="minorHAnsi"/>
                <w:sz w:val="24"/>
                <w:szCs w:val="24"/>
                <w:lang w:eastAsia="en-US"/>
              </w:rPr>
              <w:t>V, a</w:t>
            </w:r>
          </w:p>
        </w:tc>
      </w:tr>
      <w:tr w:rsidR="00C61F6D" w:rsidTr="00990334">
        <w:tc>
          <w:tcPr>
            <w:tcW w:w="2235" w:type="dxa"/>
            <w:vMerge/>
          </w:tcPr>
          <w:p w:rsidR="00C61F6D" w:rsidRPr="00AE67F5" w:rsidRDefault="00C61F6D" w:rsidP="00990334">
            <w:pPr>
              <w:autoSpaceDE w:val="0"/>
              <w:autoSpaceDN w:val="0"/>
              <w:adjustRightInd w:val="0"/>
              <w:jc w:val="center"/>
              <w:rPr>
                <w:rFonts w:eastAsia="Calibri" w:cstheme="minorHAnsi"/>
                <w:sz w:val="24"/>
                <w:szCs w:val="24"/>
                <w:lang w:eastAsia="en-US"/>
              </w:rPr>
            </w:pPr>
          </w:p>
        </w:tc>
        <w:tc>
          <w:tcPr>
            <w:tcW w:w="3294"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7º, VII</w:t>
            </w:r>
            <w:r w:rsidRPr="00AE67F5">
              <w:rPr>
                <w:rFonts w:eastAsia="Calibri" w:cstheme="minorHAnsi"/>
                <w:sz w:val="24"/>
                <w:szCs w:val="24"/>
                <w:lang w:eastAsia="en-US"/>
              </w:rPr>
              <w:t>, b</w:t>
            </w:r>
          </w:p>
        </w:tc>
        <w:tc>
          <w:tcPr>
            <w:tcW w:w="3793"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7º, V, b</w:t>
            </w:r>
          </w:p>
        </w:tc>
      </w:tr>
      <w:tr w:rsidR="00C61F6D" w:rsidTr="00990334">
        <w:tc>
          <w:tcPr>
            <w:tcW w:w="2235" w:type="dxa"/>
            <w:vMerge/>
          </w:tcPr>
          <w:p w:rsidR="00C61F6D" w:rsidRPr="00AE67F5" w:rsidRDefault="00C61F6D" w:rsidP="00990334">
            <w:pPr>
              <w:autoSpaceDE w:val="0"/>
              <w:autoSpaceDN w:val="0"/>
              <w:adjustRightInd w:val="0"/>
              <w:jc w:val="center"/>
              <w:rPr>
                <w:rFonts w:eastAsia="Calibri" w:cstheme="minorHAnsi"/>
                <w:sz w:val="24"/>
                <w:szCs w:val="24"/>
                <w:lang w:eastAsia="en-US"/>
              </w:rPr>
            </w:pPr>
          </w:p>
        </w:tc>
        <w:tc>
          <w:tcPr>
            <w:tcW w:w="3294"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7º, VII</w:t>
            </w:r>
            <w:r>
              <w:rPr>
                <w:rFonts w:eastAsia="Calibri" w:cstheme="minorHAnsi"/>
                <w:sz w:val="24"/>
                <w:szCs w:val="24"/>
                <w:lang w:eastAsia="en-US"/>
              </w:rPr>
              <w:t>, c</w:t>
            </w:r>
          </w:p>
        </w:tc>
        <w:tc>
          <w:tcPr>
            <w:tcW w:w="3793"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AE67F5">
              <w:rPr>
                <w:rFonts w:eastAsia="Calibri" w:cstheme="minorHAnsi"/>
                <w:sz w:val="24"/>
                <w:szCs w:val="24"/>
                <w:lang w:eastAsia="en-US"/>
              </w:rPr>
              <w:t>Art. 7</w:t>
            </w:r>
            <w:r>
              <w:rPr>
                <w:rFonts w:eastAsia="Calibri" w:cstheme="minorHAnsi"/>
                <w:sz w:val="24"/>
                <w:szCs w:val="24"/>
                <w:lang w:eastAsia="en-US"/>
              </w:rPr>
              <w:t>º, V, c</w:t>
            </w:r>
          </w:p>
        </w:tc>
      </w:tr>
      <w:tr w:rsidR="00C61F6D" w:rsidTr="00990334">
        <w:tc>
          <w:tcPr>
            <w:tcW w:w="2235" w:type="dxa"/>
            <w:vMerge w:val="restart"/>
          </w:tcPr>
          <w:p w:rsidR="00990334" w:rsidRDefault="00990334" w:rsidP="00990334">
            <w:pPr>
              <w:autoSpaceDE w:val="0"/>
              <w:autoSpaceDN w:val="0"/>
              <w:adjustRightInd w:val="0"/>
              <w:jc w:val="center"/>
              <w:rPr>
                <w:rFonts w:eastAsia="Calibri" w:cstheme="minorHAnsi"/>
                <w:sz w:val="24"/>
                <w:szCs w:val="24"/>
                <w:lang w:eastAsia="en-US"/>
              </w:rPr>
            </w:pPr>
          </w:p>
          <w:p w:rsidR="00C61F6D" w:rsidRPr="00AE67F5" w:rsidRDefault="00990334"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RENDA VARIÁVEL</w:t>
            </w:r>
          </w:p>
        </w:tc>
        <w:tc>
          <w:tcPr>
            <w:tcW w:w="3294" w:type="dxa"/>
          </w:tcPr>
          <w:p w:rsidR="00C61F6D" w:rsidRPr="00AE67F5" w:rsidRDefault="00C61F6D"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8º, I, a</w:t>
            </w:r>
          </w:p>
        </w:tc>
        <w:tc>
          <w:tcPr>
            <w:tcW w:w="3793" w:type="dxa"/>
          </w:tcPr>
          <w:p w:rsidR="00C61F6D" w:rsidRPr="00AE67F5" w:rsidRDefault="00C61F6D"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8º, I</w:t>
            </w:r>
          </w:p>
        </w:tc>
      </w:tr>
      <w:tr w:rsidR="00C61F6D" w:rsidTr="00990334">
        <w:tc>
          <w:tcPr>
            <w:tcW w:w="2235" w:type="dxa"/>
            <w:vMerge/>
          </w:tcPr>
          <w:p w:rsidR="00C61F6D" w:rsidRPr="00AE67F5" w:rsidRDefault="00C61F6D" w:rsidP="00990334">
            <w:pPr>
              <w:autoSpaceDE w:val="0"/>
              <w:autoSpaceDN w:val="0"/>
              <w:adjustRightInd w:val="0"/>
              <w:jc w:val="center"/>
              <w:rPr>
                <w:rFonts w:eastAsia="Calibri" w:cstheme="minorHAnsi"/>
                <w:sz w:val="24"/>
                <w:szCs w:val="24"/>
                <w:lang w:eastAsia="en-US"/>
              </w:rPr>
            </w:pPr>
          </w:p>
        </w:tc>
        <w:tc>
          <w:tcPr>
            <w:tcW w:w="3294" w:type="dxa"/>
          </w:tcPr>
          <w:p w:rsidR="00C61F6D" w:rsidRPr="00AE67F5" w:rsidRDefault="00C61F6D"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8º, I, b</w:t>
            </w:r>
          </w:p>
        </w:tc>
        <w:tc>
          <w:tcPr>
            <w:tcW w:w="3793" w:type="dxa"/>
          </w:tcPr>
          <w:p w:rsidR="00C61F6D" w:rsidRPr="00AE67F5" w:rsidRDefault="00C61F6D"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8º, II</w:t>
            </w:r>
          </w:p>
        </w:tc>
      </w:tr>
      <w:tr w:rsidR="00C61F6D" w:rsidTr="00990334">
        <w:tc>
          <w:tcPr>
            <w:tcW w:w="2235" w:type="dxa"/>
            <w:vMerge/>
          </w:tcPr>
          <w:p w:rsidR="00C61F6D" w:rsidRPr="00AE67F5" w:rsidRDefault="00C61F6D" w:rsidP="00990334">
            <w:pPr>
              <w:autoSpaceDE w:val="0"/>
              <w:autoSpaceDN w:val="0"/>
              <w:adjustRightInd w:val="0"/>
              <w:jc w:val="center"/>
              <w:rPr>
                <w:rFonts w:eastAsia="Calibri" w:cstheme="minorHAnsi"/>
                <w:sz w:val="24"/>
                <w:szCs w:val="24"/>
                <w:lang w:eastAsia="en-US"/>
              </w:rPr>
            </w:pPr>
          </w:p>
        </w:tc>
        <w:tc>
          <w:tcPr>
            <w:tcW w:w="3294" w:type="dxa"/>
          </w:tcPr>
          <w:p w:rsidR="00C61F6D" w:rsidRPr="00AE67F5" w:rsidRDefault="00C61F6D"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8º, I</w:t>
            </w:r>
            <w:r>
              <w:rPr>
                <w:rFonts w:eastAsia="Calibri" w:cstheme="minorHAnsi"/>
                <w:sz w:val="24"/>
                <w:szCs w:val="24"/>
                <w:lang w:eastAsia="en-US"/>
              </w:rPr>
              <w:t>I</w:t>
            </w:r>
            <w:r>
              <w:rPr>
                <w:rFonts w:eastAsia="Calibri" w:cstheme="minorHAnsi"/>
                <w:sz w:val="24"/>
                <w:szCs w:val="24"/>
                <w:lang w:eastAsia="en-US"/>
              </w:rPr>
              <w:t>, a</w:t>
            </w:r>
          </w:p>
        </w:tc>
        <w:tc>
          <w:tcPr>
            <w:tcW w:w="3793" w:type="dxa"/>
          </w:tcPr>
          <w:p w:rsidR="00C61F6D" w:rsidRPr="00AE67F5" w:rsidRDefault="00C61F6D" w:rsidP="00990334">
            <w:pPr>
              <w:autoSpaceDE w:val="0"/>
              <w:autoSpaceDN w:val="0"/>
              <w:adjustRightInd w:val="0"/>
              <w:jc w:val="center"/>
              <w:rPr>
                <w:rFonts w:eastAsia="Calibri" w:cstheme="minorHAnsi"/>
                <w:sz w:val="24"/>
                <w:szCs w:val="24"/>
                <w:lang w:eastAsia="en-US"/>
              </w:rPr>
            </w:pPr>
            <w:r w:rsidRPr="00975E3B">
              <w:rPr>
                <w:rFonts w:eastAsia="Calibri" w:cstheme="minorHAnsi"/>
                <w:sz w:val="24"/>
                <w:szCs w:val="24"/>
                <w:lang w:eastAsia="en-US"/>
              </w:rPr>
              <w:t>Art. 8º, I</w:t>
            </w:r>
            <w:r>
              <w:rPr>
                <w:rFonts w:eastAsia="Calibri" w:cstheme="minorHAnsi"/>
                <w:sz w:val="24"/>
                <w:szCs w:val="24"/>
                <w:lang w:eastAsia="en-US"/>
              </w:rPr>
              <w:t xml:space="preserve">   </w:t>
            </w:r>
          </w:p>
        </w:tc>
      </w:tr>
      <w:tr w:rsidR="00C61F6D" w:rsidTr="00990334">
        <w:tc>
          <w:tcPr>
            <w:tcW w:w="2235" w:type="dxa"/>
            <w:vMerge/>
          </w:tcPr>
          <w:p w:rsidR="00C61F6D" w:rsidRPr="00AE67F5" w:rsidRDefault="00C61F6D" w:rsidP="00990334">
            <w:pPr>
              <w:autoSpaceDE w:val="0"/>
              <w:autoSpaceDN w:val="0"/>
              <w:adjustRightInd w:val="0"/>
              <w:jc w:val="center"/>
              <w:rPr>
                <w:rFonts w:eastAsia="Calibri" w:cstheme="minorHAnsi"/>
                <w:sz w:val="24"/>
                <w:szCs w:val="24"/>
                <w:lang w:eastAsia="en-US"/>
              </w:rPr>
            </w:pPr>
          </w:p>
        </w:tc>
        <w:tc>
          <w:tcPr>
            <w:tcW w:w="3294" w:type="dxa"/>
          </w:tcPr>
          <w:p w:rsidR="00C61F6D" w:rsidRPr="00AE67F5" w:rsidRDefault="00C61F6D"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8º, II</w:t>
            </w:r>
            <w:r>
              <w:rPr>
                <w:rFonts w:eastAsia="Calibri" w:cstheme="minorHAnsi"/>
                <w:sz w:val="24"/>
                <w:szCs w:val="24"/>
                <w:lang w:eastAsia="en-US"/>
              </w:rPr>
              <w:t>, b</w:t>
            </w:r>
          </w:p>
        </w:tc>
        <w:tc>
          <w:tcPr>
            <w:tcW w:w="3793" w:type="dxa"/>
          </w:tcPr>
          <w:p w:rsidR="00C61F6D" w:rsidRPr="00AE67F5" w:rsidRDefault="00C61F6D"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8º, I</w:t>
            </w:r>
            <w:r>
              <w:rPr>
                <w:rFonts w:eastAsia="Calibri" w:cstheme="minorHAnsi"/>
                <w:sz w:val="24"/>
                <w:szCs w:val="24"/>
                <w:lang w:eastAsia="en-US"/>
              </w:rPr>
              <w:t>I</w:t>
            </w:r>
          </w:p>
        </w:tc>
      </w:tr>
      <w:tr w:rsidR="00990334" w:rsidTr="00990334">
        <w:tc>
          <w:tcPr>
            <w:tcW w:w="2235" w:type="dxa"/>
            <w:vMerge w:val="restart"/>
          </w:tcPr>
          <w:p w:rsidR="00990334" w:rsidRDefault="00990334" w:rsidP="00990334">
            <w:pPr>
              <w:autoSpaceDE w:val="0"/>
              <w:autoSpaceDN w:val="0"/>
              <w:adjustRightInd w:val="0"/>
              <w:jc w:val="center"/>
              <w:rPr>
                <w:rFonts w:eastAsia="Calibri" w:cstheme="minorHAnsi"/>
                <w:sz w:val="24"/>
                <w:szCs w:val="24"/>
                <w:lang w:eastAsia="en-US"/>
              </w:rPr>
            </w:pPr>
          </w:p>
          <w:p w:rsidR="00990334" w:rsidRPr="00AE67F5" w:rsidRDefault="00990334"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EXTERIOR</w:t>
            </w:r>
          </w:p>
        </w:tc>
        <w:tc>
          <w:tcPr>
            <w:tcW w:w="3294" w:type="dxa"/>
          </w:tcPr>
          <w:p w:rsidR="00990334" w:rsidRPr="00AE67F5" w:rsidRDefault="00990334"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9º-A, I</w:t>
            </w:r>
          </w:p>
        </w:tc>
        <w:tc>
          <w:tcPr>
            <w:tcW w:w="3793" w:type="dxa"/>
          </w:tcPr>
          <w:p w:rsidR="00990334" w:rsidRPr="00AE67F5" w:rsidRDefault="00990334"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9º, I</w:t>
            </w:r>
          </w:p>
        </w:tc>
      </w:tr>
      <w:tr w:rsidR="00990334" w:rsidTr="00990334">
        <w:tc>
          <w:tcPr>
            <w:tcW w:w="2235" w:type="dxa"/>
            <w:vMerge/>
          </w:tcPr>
          <w:p w:rsidR="00990334" w:rsidRPr="00AE67F5" w:rsidRDefault="00990334" w:rsidP="00990334">
            <w:pPr>
              <w:autoSpaceDE w:val="0"/>
              <w:autoSpaceDN w:val="0"/>
              <w:adjustRightInd w:val="0"/>
              <w:jc w:val="center"/>
              <w:rPr>
                <w:rFonts w:eastAsia="Calibri" w:cstheme="minorHAnsi"/>
                <w:sz w:val="24"/>
                <w:szCs w:val="24"/>
                <w:lang w:eastAsia="en-US"/>
              </w:rPr>
            </w:pPr>
          </w:p>
        </w:tc>
        <w:tc>
          <w:tcPr>
            <w:tcW w:w="3294" w:type="dxa"/>
          </w:tcPr>
          <w:p w:rsidR="00990334" w:rsidRPr="00AE67F5" w:rsidRDefault="00990334"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9º-A, I</w:t>
            </w:r>
            <w:r>
              <w:rPr>
                <w:rFonts w:eastAsia="Calibri" w:cstheme="minorHAnsi"/>
                <w:sz w:val="24"/>
                <w:szCs w:val="24"/>
                <w:lang w:eastAsia="en-US"/>
              </w:rPr>
              <w:t>I</w:t>
            </w:r>
          </w:p>
        </w:tc>
        <w:tc>
          <w:tcPr>
            <w:tcW w:w="3793" w:type="dxa"/>
          </w:tcPr>
          <w:p w:rsidR="00990334" w:rsidRPr="00AE67F5" w:rsidRDefault="00990334"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9º, I</w:t>
            </w:r>
            <w:r>
              <w:rPr>
                <w:rFonts w:eastAsia="Calibri" w:cstheme="minorHAnsi"/>
                <w:sz w:val="24"/>
                <w:szCs w:val="24"/>
                <w:lang w:eastAsia="en-US"/>
              </w:rPr>
              <w:t>I</w:t>
            </w:r>
          </w:p>
        </w:tc>
      </w:tr>
      <w:tr w:rsidR="00990334" w:rsidTr="00990334">
        <w:tc>
          <w:tcPr>
            <w:tcW w:w="2235" w:type="dxa"/>
            <w:vMerge/>
          </w:tcPr>
          <w:p w:rsidR="00990334" w:rsidRPr="00AE67F5" w:rsidRDefault="00990334" w:rsidP="00990334">
            <w:pPr>
              <w:autoSpaceDE w:val="0"/>
              <w:autoSpaceDN w:val="0"/>
              <w:adjustRightInd w:val="0"/>
              <w:jc w:val="center"/>
              <w:rPr>
                <w:rFonts w:eastAsia="Calibri" w:cstheme="minorHAnsi"/>
                <w:sz w:val="24"/>
                <w:szCs w:val="24"/>
                <w:lang w:eastAsia="en-US"/>
              </w:rPr>
            </w:pPr>
          </w:p>
        </w:tc>
        <w:tc>
          <w:tcPr>
            <w:tcW w:w="3294" w:type="dxa"/>
          </w:tcPr>
          <w:p w:rsidR="00990334" w:rsidRPr="00AE67F5" w:rsidRDefault="00990334"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9º-A, I</w:t>
            </w:r>
            <w:r>
              <w:rPr>
                <w:rFonts w:eastAsia="Calibri" w:cstheme="minorHAnsi"/>
                <w:sz w:val="24"/>
                <w:szCs w:val="24"/>
                <w:lang w:eastAsia="en-US"/>
              </w:rPr>
              <w:t>II</w:t>
            </w:r>
          </w:p>
        </w:tc>
        <w:tc>
          <w:tcPr>
            <w:tcW w:w="3793" w:type="dxa"/>
          </w:tcPr>
          <w:p w:rsidR="00990334" w:rsidRPr="00AE67F5" w:rsidRDefault="00990334"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9º, II</w:t>
            </w:r>
            <w:r>
              <w:rPr>
                <w:rFonts w:eastAsia="Calibri" w:cstheme="minorHAnsi"/>
                <w:sz w:val="24"/>
                <w:szCs w:val="24"/>
                <w:lang w:eastAsia="en-US"/>
              </w:rPr>
              <w:t>I</w:t>
            </w:r>
          </w:p>
        </w:tc>
      </w:tr>
      <w:tr w:rsidR="00990334" w:rsidTr="00990334">
        <w:tc>
          <w:tcPr>
            <w:tcW w:w="2235" w:type="dxa"/>
            <w:vMerge w:val="restart"/>
          </w:tcPr>
          <w:p w:rsidR="00990334" w:rsidRDefault="00990334" w:rsidP="00990334">
            <w:pPr>
              <w:autoSpaceDE w:val="0"/>
              <w:autoSpaceDN w:val="0"/>
              <w:adjustRightInd w:val="0"/>
              <w:jc w:val="center"/>
              <w:rPr>
                <w:rFonts w:eastAsia="Calibri" w:cstheme="minorHAnsi"/>
                <w:sz w:val="24"/>
                <w:szCs w:val="24"/>
                <w:lang w:eastAsia="en-US"/>
              </w:rPr>
            </w:pPr>
          </w:p>
          <w:p w:rsidR="00990334" w:rsidRPr="00AE67F5" w:rsidRDefault="00990334"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ESTRUTURADOS</w:t>
            </w:r>
          </w:p>
        </w:tc>
        <w:tc>
          <w:tcPr>
            <w:tcW w:w="3294" w:type="dxa"/>
          </w:tcPr>
          <w:p w:rsidR="00990334" w:rsidRPr="00AE67F5" w:rsidRDefault="00990334"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8º</w:t>
            </w:r>
            <w:r>
              <w:rPr>
                <w:rFonts w:eastAsia="Calibri" w:cstheme="minorHAnsi"/>
                <w:sz w:val="24"/>
                <w:szCs w:val="24"/>
                <w:lang w:eastAsia="en-US"/>
              </w:rPr>
              <w:t>, III</w:t>
            </w:r>
          </w:p>
        </w:tc>
        <w:tc>
          <w:tcPr>
            <w:tcW w:w="3793" w:type="dxa"/>
          </w:tcPr>
          <w:p w:rsidR="00990334" w:rsidRPr="00AE67F5" w:rsidRDefault="00990334"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 xml:space="preserve">Art. 10, </w:t>
            </w:r>
            <w:r>
              <w:rPr>
                <w:rFonts w:eastAsia="Calibri" w:cstheme="minorHAnsi"/>
                <w:sz w:val="24"/>
                <w:szCs w:val="24"/>
                <w:lang w:eastAsia="en-US"/>
              </w:rPr>
              <w:t>I</w:t>
            </w:r>
          </w:p>
        </w:tc>
      </w:tr>
      <w:tr w:rsidR="00990334" w:rsidTr="00990334">
        <w:tc>
          <w:tcPr>
            <w:tcW w:w="2235" w:type="dxa"/>
            <w:vMerge/>
          </w:tcPr>
          <w:p w:rsidR="00990334" w:rsidRPr="00AE67F5" w:rsidRDefault="00990334" w:rsidP="00990334">
            <w:pPr>
              <w:autoSpaceDE w:val="0"/>
              <w:autoSpaceDN w:val="0"/>
              <w:adjustRightInd w:val="0"/>
              <w:jc w:val="center"/>
              <w:rPr>
                <w:rFonts w:eastAsia="Calibri" w:cstheme="minorHAnsi"/>
                <w:sz w:val="24"/>
                <w:szCs w:val="24"/>
                <w:lang w:eastAsia="en-US"/>
              </w:rPr>
            </w:pPr>
          </w:p>
        </w:tc>
        <w:tc>
          <w:tcPr>
            <w:tcW w:w="3294" w:type="dxa"/>
          </w:tcPr>
          <w:p w:rsidR="00990334" w:rsidRPr="00AE67F5" w:rsidRDefault="00990334"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8º, I</w:t>
            </w:r>
            <w:r>
              <w:rPr>
                <w:rFonts w:eastAsia="Calibri" w:cstheme="minorHAnsi"/>
                <w:sz w:val="24"/>
                <w:szCs w:val="24"/>
                <w:lang w:eastAsia="en-US"/>
              </w:rPr>
              <w:t>V, a</w:t>
            </w:r>
          </w:p>
        </w:tc>
        <w:tc>
          <w:tcPr>
            <w:tcW w:w="3793" w:type="dxa"/>
          </w:tcPr>
          <w:p w:rsidR="00990334" w:rsidRPr="00AE67F5" w:rsidRDefault="00990334"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10, I</w:t>
            </w:r>
            <w:r>
              <w:rPr>
                <w:rFonts w:eastAsia="Calibri" w:cstheme="minorHAnsi"/>
                <w:sz w:val="24"/>
                <w:szCs w:val="24"/>
                <w:lang w:eastAsia="en-US"/>
              </w:rPr>
              <w:t>I</w:t>
            </w:r>
          </w:p>
        </w:tc>
      </w:tr>
      <w:tr w:rsidR="00990334" w:rsidTr="00990334">
        <w:tc>
          <w:tcPr>
            <w:tcW w:w="2235" w:type="dxa"/>
            <w:vMerge/>
          </w:tcPr>
          <w:p w:rsidR="00990334" w:rsidRPr="00AE67F5" w:rsidRDefault="00990334" w:rsidP="00990334">
            <w:pPr>
              <w:autoSpaceDE w:val="0"/>
              <w:autoSpaceDN w:val="0"/>
              <w:adjustRightInd w:val="0"/>
              <w:jc w:val="center"/>
              <w:rPr>
                <w:rFonts w:eastAsia="Calibri" w:cstheme="minorHAnsi"/>
                <w:sz w:val="24"/>
                <w:szCs w:val="24"/>
                <w:lang w:eastAsia="en-US"/>
              </w:rPr>
            </w:pPr>
          </w:p>
        </w:tc>
        <w:tc>
          <w:tcPr>
            <w:tcW w:w="3294" w:type="dxa"/>
          </w:tcPr>
          <w:p w:rsidR="00990334" w:rsidRPr="00AE67F5" w:rsidRDefault="00990334"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8º, I</w:t>
            </w:r>
            <w:r>
              <w:rPr>
                <w:rFonts w:eastAsia="Calibri" w:cstheme="minorHAnsi"/>
                <w:sz w:val="24"/>
                <w:szCs w:val="24"/>
                <w:lang w:eastAsia="en-US"/>
              </w:rPr>
              <w:t>V, c</w:t>
            </w:r>
          </w:p>
        </w:tc>
        <w:tc>
          <w:tcPr>
            <w:tcW w:w="3793" w:type="dxa"/>
          </w:tcPr>
          <w:p w:rsidR="00990334" w:rsidRPr="00AE67F5" w:rsidRDefault="00990334"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10, I</w:t>
            </w:r>
            <w:r>
              <w:rPr>
                <w:rFonts w:eastAsia="Calibri" w:cstheme="minorHAnsi"/>
                <w:sz w:val="24"/>
                <w:szCs w:val="24"/>
                <w:lang w:eastAsia="en-US"/>
              </w:rPr>
              <w:t>II</w:t>
            </w:r>
          </w:p>
        </w:tc>
      </w:tr>
      <w:tr w:rsidR="00C61F6D" w:rsidTr="00990334">
        <w:tc>
          <w:tcPr>
            <w:tcW w:w="2235" w:type="dxa"/>
          </w:tcPr>
          <w:p w:rsidR="00C61F6D" w:rsidRPr="00AE67F5" w:rsidRDefault="00990334"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FII</w:t>
            </w:r>
          </w:p>
        </w:tc>
        <w:tc>
          <w:tcPr>
            <w:tcW w:w="3294" w:type="dxa"/>
          </w:tcPr>
          <w:p w:rsidR="00C61F6D" w:rsidRPr="00AE67F5" w:rsidRDefault="00C61F6D"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8º, I</w:t>
            </w:r>
            <w:r>
              <w:rPr>
                <w:rFonts w:eastAsia="Calibri" w:cstheme="minorHAnsi"/>
                <w:sz w:val="24"/>
                <w:szCs w:val="24"/>
                <w:lang w:eastAsia="en-US"/>
              </w:rPr>
              <w:t>V, b</w:t>
            </w:r>
          </w:p>
        </w:tc>
        <w:tc>
          <w:tcPr>
            <w:tcW w:w="3793" w:type="dxa"/>
          </w:tcPr>
          <w:p w:rsidR="00C61F6D" w:rsidRPr="00AE67F5" w:rsidRDefault="00C61F6D"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11</w:t>
            </w:r>
          </w:p>
        </w:tc>
      </w:tr>
      <w:tr w:rsidR="00C61F6D" w:rsidTr="00990334">
        <w:tc>
          <w:tcPr>
            <w:tcW w:w="2235" w:type="dxa"/>
          </w:tcPr>
          <w:p w:rsidR="00C61F6D" w:rsidRPr="00AE67F5" w:rsidRDefault="00990334"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CONSIGNADOS</w:t>
            </w:r>
          </w:p>
        </w:tc>
        <w:tc>
          <w:tcPr>
            <w:tcW w:w="3294" w:type="dxa"/>
          </w:tcPr>
          <w:p w:rsidR="00C61F6D" w:rsidRPr="00AE67F5" w:rsidRDefault="00C61F6D"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N/A</w:t>
            </w:r>
          </w:p>
        </w:tc>
        <w:tc>
          <w:tcPr>
            <w:tcW w:w="3793" w:type="dxa"/>
          </w:tcPr>
          <w:p w:rsidR="00C61F6D" w:rsidRPr="00AE67F5" w:rsidRDefault="00C61F6D" w:rsidP="00990334">
            <w:pPr>
              <w:autoSpaceDE w:val="0"/>
              <w:autoSpaceDN w:val="0"/>
              <w:adjustRightInd w:val="0"/>
              <w:jc w:val="center"/>
              <w:rPr>
                <w:rFonts w:eastAsia="Calibri" w:cstheme="minorHAnsi"/>
                <w:sz w:val="24"/>
                <w:szCs w:val="24"/>
                <w:lang w:eastAsia="en-US"/>
              </w:rPr>
            </w:pPr>
            <w:r>
              <w:rPr>
                <w:rFonts w:eastAsia="Calibri" w:cstheme="minorHAnsi"/>
                <w:sz w:val="24"/>
                <w:szCs w:val="24"/>
                <w:lang w:eastAsia="en-US"/>
              </w:rPr>
              <w:t>Art. 12</w:t>
            </w:r>
            <w:r>
              <w:rPr>
                <w:rFonts w:eastAsia="Calibri" w:cstheme="minorHAnsi"/>
                <w:sz w:val="24"/>
                <w:szCs w:val="24"/>
                <w:lang w:eastAsia="en-US"/>
              </w:rPr>
              <w:t>, I</w:t>
            </w:r>
            <w:r>
              <w:rPr>
                <w:rFonts w:eastAsia="Calibri" w:cstheme="minorHAnsi"/>
                <w:sz w:val="24"/>
                <w:szCs w:val="24"/>
                <w:lang w:eastAsia="en-US"/>
              </w:rPr>
              <w:t>/II</w:t>
            </w:r>
          </w:p>
        </w:tc>
      </w:tr>
    </w:tbl>
    <w:p w:rsidR="005B4F5A" w:rsidRPr="005B4F5A" w:rsidRDefault="005B4F5A" w:rsidP="005B4F5A">
      <w:pPr>
        <w:autoSpaceDE w:val="0"/>
        <w:autoSpaceDN w:val="0"/>
        <w:adjustRightInd w:val="0"/>
        <w:spacing w:after="0" w:line="240" w:lineRule="auto"/>
        <w:jc w:val="center"/>
        <w:rPr>
          <w:rFonts w:ascii="Calibri Light" w:eastAsia="Calibri" w:hAnsi="Calibri Light" w:cs="Times New Roman"/>
          <w:sz w:val="24"/>
          <w:szCs w:val="24"/>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10"/>
          <w:szCs w:val="10"/>
          <w:lang w:eastAsia="en-US"/>
        </w:rPr>
      </w:pPr>
    </w:p>
    <w:p w:rsidR="005B4F5A" w:rsidRPr="005B4F5A" w:rsidRDefault="005B4F5A" w:rsidP="005B4F5A">
      <w:pPr>
        <w:autoSpaceDE w:val="0"/>
        <w:autoSpaceDN w:val="0"/>
        <w:adjustRightInd w:val="0"/>
        <w:spacing w:after="0" w:line="240" w:lineRule="auto"/>
        <w:jc w:val="both"/>
        <w:rPr>
          <w:rFonts w:ascii="Calibri Light" w:eastAsia="Calibri" w:hAnsi="Calibri Light" w:cs="Tahoma,Bold"/>
          <w:b/>
          <w:bCs/>
          <w:sz w:val="24"/>
          <w:szCs w:val="24"/>
          <w:lang w:eastAsia="en-US"/>
        </w:rPr>
      </w:pPr>
    </w:p>
    <w:p w:rsidR="005B4F5A" w:rsidRDefault="005B4F5A"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5B4F5A" w:rsidRDefault="005B4F5A"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5B4F5A" w:rsidRDefault="005B4F5A"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5B4F5A" w:rsidRDefault="005B4F5A"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5B4F5A" w:rsidRDefault="005B4F5A"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5B4F5A" w:rsidRDefault="005B4F5A"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5B4F5A" w:rsidRDefault="005B4F5A"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776AED" w:rsidRDefault="00776AE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C61F6D" w:rsidRDefault="00C61F6D"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p>
    <w:p w:rsidR="005B4F5A" w:rsidRPr="005B4F5A" w:rsidRDefault="005B4F5A" w:rsidP="005B4F5A">
      <w:pPr>
        <w:autoSpaceDE w:val="0"/>
        <w:autoSpaceDN w:val="0"/>
        <w:adjustRightInd w:val="0"/>
        <w:spacing w:after="0" w:line="240" w:lineRule="auto"/>
        <w:jc w:val="center"/>
        <w:rPr>
          <w:rFonts w:ascii="Calibri Light" w:eastAsia="Calibri" w:hAnsi="Calibri Light" w:cs="Tahoma,Bold"/>
          <w:b/>
          <w:bCs/>
          <w:sz w:val="24"/>
          <w:szCs w:val="24"/>
          <w:lang w:eastAsia="en-US"/>
        </w:rPr>
      </w:pPr>
      <w:r w:rsidRPr="005B4F5A">
        <w:rPr>
          <w:rFonts w:ascii="Calibri Light" w:eastAsia="Calibri" w:hAnsi="Calibri Light" w:cs="Tahoma,Bold"/>
          <w:b/>
          <w:bCs/>
          <w:sz w:val="24"/>
          <w:szCs w:val="24"/>
          <w:lang w:eastAsia="en-US"/>
        </w:rPr>
        <w:lastRenderedPageBreak/>
        <w:t>ANEXO II</w:t>
      </w:r>
      <w:r>
        <w:rPr>
          <w:rFonts w:ascii="Calibri Light" w:eastAsia="Calibri" w:hAnsi="Calibri Light" w:cs="Tahoma,Bold"/>
          <w:b/>
          <w:bCs/>
          <w:sz w:val="24"/>
          <w:szCs w:val="24"/>
          <w:lang w:eastAsia="en-US"/>
        </w:rPr>
        <w:t xml:space="preserve"> - </w:t>
      </w:r>
      <w:r w:rsidRPr="005B4F5A">
        <w:rPr>
          <w:rFonts w:ascii="Calibri Light" w:eastAsia="Calibri" w:hAnsi="Calibri Light" w:cs="Tahoma,Bold"/>
          <w:b/>
          <w:bCs/>
          <w:sz w:val="24"/>
          <w:szCs w:val="24"/>
          <w:lang w:eastAsia="en-US"/>
        </w:rPr>
        <w:t>DEMONSTRATIVO DA POLÍTICA DE INVESTIMENTO – DPIN - ESTRATEGIA DE INVESTIMENTOS 2022 - PREENCHIMENTO E ENVIO VIA CADPREV DO MINISTÉRIO DA PREVIDÊNCIA E ASSISTÊNCIA SOCIAL</w:t>
      </w:r>
    </w:p>
    <w:p w:rsidR="005B4F5A" w:rsidRPr="005B4F5A" w:rsidRDefault="005B4F5A" w:rsidP="005B4F5A">
      <w:pPr>
        <w:autoSpaceDE w:val="0"/>
        <w:autoSpaceDN w:val="0"/>
        <w:adjustRightInd w:val="0"/>
        <w:spacing w:after="0" w:line="240" w:lineRule="auto"/>
        <w:rPr>
          <w:rFonts w:ascii="Calibri Light" w:eastAsia="Calibri" w:hAnsi="Calibri Light" w:cs="Tahoma,Bold"/>
          <w:b/>
          <w:bCs/>
          <w:sz w:val="24"/>
          <w:szCs w:val="24"/>
          <w:lang w:eastAsia="en-US"/>
        </w:rPr>
      </w:pPr>
    </w:p>
    <w:tbl>
      <w:tblPr>
        <w:tblW w:w="1332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84"/>
        <w:gridCol w:w="851"/>
        <w:gridCol w:w="1385"/>
        <w:gridCol w:w="739"/>
        <w:gridCol w:w="737"/>
        <w:gridCol w:w="862"/>
        <w:gridCol w:w="813"/>
        <w:gridCol w:w="1134"/>
        <w:gridCol w:w="1276"/>
        <w:gridCol w:w="992"/>
        <w:gridCol w:w="953"/>
      </w:tblGrid>
      <w:tr w:rsidR="005B4F5A" w:rsidRPr="005B4F5A" w:rsidTr="005B4F5A">
        <w:trPr>
          <w:trHeight w:val="254"/>
          <w:jc w:val="center"/>
        </w:trPr>
        <w:tc>
          <w:tcPr>
            <w:tcW w:w="8971" w:type="dxa"/>
            <w:gridSpan w:val="7"/>
            <w:tcBorders>
              <w:top w:val="single" w:sz="4" w:space="0" w:color="auto"/>
              <w:left w:val="outset" w:sz="6" w:space="0" w:color="auto"/>
              <w:bottom w:val="outset" w:sz="6" w:space="0" w:color="auto"/>
              <w:right w:val="outset" w:sz="6" w:space="0" w:color="auto"/>
            </w:tcBorders>
            <w:vAlign w:val="center"/>
            <w:hideMark/>
          </w:tcPr>
          <w:p w:rsidR="005B4F5A" w:rsidRPr="005B4F5A" w:rsidRDefault="005B4F5A" w:rsidP="005B4F5A">
            <w:pPr>
              <w:rPr>
                <w:rFonts w:ascii="Calibri" w:eastAsia="Calibri" w:hAnsi="Calibri" w:cs="Times New Roman"/>
                <w:b/>
                <w:sz w:val="16"/>
                <w:szCs w:val="16"/>
                <w:lang w:eastAsia="en-US"/>
              </w:rPr>
            </w:pPr>
            <w:r w:rsidRPr="005B4F5A">
              <w:rPr>
                <w:rFonts w:ascii="Calibri" w:eastAsia="Calibri" w:hAnsi="Calibri" w:cs="Times New Roman"/>
                <w:sz w:val="16"/>
                <w:szCs w:val="16"/>
                <w:lang w:eastAsia="en-US"/>
              </w:rPr>
              <w:t xml:space="preserve"> </w:t>
            </w:r>
            <w:r w:rsidRPr="005B4F5A">
              <w:rPr>
                <w:rFonts w:ascii="Calibri" w:eastAsia="Calibri" w:hAnsi="Calibri" w:cs="Times New Roman"/>
                <w:b/>
                <w:sz w:val="16"/>
                <w:szCs w:val="16"/>
                <w:lang w:eastAsia="en-US"/>
              </w:rPr>
              <w:t xml:space="preserve">RESUMO DA POLÍTICA DE INVESTIMENTOS 2022 - RESOLUÇÃO CMN nº 4.963/2021 </w:t>
            </w:r>
          </w:p>
        </w:tc>
        <w:tc>
          <w:tcPr>
            <w:tcW w:w="1134" w:type="dxa"/>
            <w:tcBorders>
              <w:top w:val="single" w:sz="4" w:space="0" w:color="auto"/>
              <w:left w:val="outset" w:sz="6" w:space="0" w:color="auto"/>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p>
        </w:tc>
        <w:tc>
          <w:tcPr>
            <w:tcW w:w="1276" w:type="dxa"/>
            <w:tcBorders>
              <w:top w:val="single" w:sz="4" w:space="0" w:color="auto"/>
              <w:left w:val="outset" w:sz="6" w:space="0" w:color="auto"/>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p>
        </w:tc>
        <w:tc>
          <w:tcPr>
            <w:tcW w:w="1945" w:type="dxa"/>
            <w:gridSpan w:val="2"/>
            <w:tcBorders>
              <w:top w:val="single" w:sz="4" w:space="0" w:color="auto"/>
              <w:left w:val="outset" w:sz="6" w:space="0" w:color="auto"/>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p>
        </w:tc>
      </w:tr>
      <w:tr w:rsidR="005B4F5A" w:rsidRPr="005B4F5A" w:rsidTr="005B4F5A">
        <w:trPr>
          <w:trHeight w:val="254"/>
          <w:jc w:val="center"/>
        </w:trPr>
        <w:tc>
          <w:tcPr>
            <w:tcW w:w="3584" w:type="dxa"/>
            <w:tcBorders>
              <w:top w:val="nil"/>
              <w:left w:val="outset" w:sz="6" w:space="0" w:color="auto"/>
              <w:bottom w:val="outset" w:sz="6" w:space="0" w:color="auto"/>
              <w:right w:val="outset" w:sz="6" w:space="0" w:color="auto"/>
            </w:tcBorders>
            <w:vAlign w:val="center"/>
          </w:tcPr>
          <w:p w:rsidR="005B4F5A" w:rsidRPr="005B4F5A" w:rsidRDefault="005B4F5A" w:rsidP="005B4F5A">
            <w:pPr>
              <w:rPr>
                <w:rFonts w:ascii="Calibri" w:eastAsia="Calibri" w:hAnsi="Calibri" w:cs="Times New Roman"/>
                <w:sz w:val="16"/>
                <w:szCs w:val="16"/>
                <w:lang w:eastAsia="en-US"/>
              </w:rPr>
            </w:pPr>
          </w:p>
        </w:tc>
        <w:tc>
          <w:tcPr>
            <w:tcW w:w="851" w:type="dxa"/>
            <w:tcBorders>
              <w:top w:val="nil"/>
              <w:left w:val="nil"/>
              <w:bottom w:val="outset" w:sz="6" w:space="0" w:color="auto"/>
              <w:right w:val="outset" w:sz="6" w:space="0" w:color="auto"/>
            </w:tcBorders>
            <w:vAlign w:val="center"/>
          </w:tcPr>
          <w:p w:rsidR="005B4F5A" w:rsidRPr="005B4F5A" w:rsidRDefault="005B4F5A" w:rsidP="005B4F5A">
            <w:pPr>
              <w:rPr>
                <w:rFonts w:ascii="Calibri" w:eastAsia="Calibri" w:hAnsi="Calibri" w:cs="Times New Roman"/>
                <w:sz w:val="16"/>
                <w:szCs w:val="16"/>
                <w:lang w:eastAsia="en-US"/>
              </w:rPr>
            </w:pPr>
          </w:p>
        </w:tc>
        <w:tc>
          <w:tcPr>
            <w:tcW w:w="2124" w:type="dxa"/>
            <w:gridSpan w:val="2"/>
            <w:tcBorders>
              <w:top w:val="nil"/>
              <w:left w:val="nil"/>
              <w:bottom w:val="outset" w:sz="6" w:space="0" w:color="auto"/>
              <w:right w:val="outset" w:sz="6" w:space="0" w:color="auto"/>
            </w:tcBorders>
            <w:vAlign w:val="center"/>
            <w:hideMark/>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 </w:t>
            </w:r>
          </w:p>
        </w:tc>
        <w:tc>
          <w:tcPr>
            <w:tcW w:w="737" w:type="dxa"/>
            <w:tcBorders>
              <w:top w:val="nil"/>
              <w:left w:val="nil"/>
              <w:bottom w:val="outset" w:sz="6" w:space="0" w:color="auto"/>
              <w:right w:val="outset" w:sz="6" w:space="0" w:color="auto"/>
            </w:tcBorders>
            <w:vAlign w:val="center"/>
            <w:hideMark/>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 </w:t>
            </w:r>
          </w:p>
        </w:tc>
        <w:tc>
          <w:tcPr>
            <w:tcW w:w="862" w:type="dxa"/>
            <w:tcBorders>
              <w:top w:val="nil"/>
              <w:left w:val="nil"/>
              <w:bottom w:val="outset" w:sz="6" w:space="0" w:color="auto"/>
              <w:right w:val="outset" w:sz="6" w:space="0" w:color="auto"/>
            </w:tcBorders>
            <w:vAlign w:val="center"/>
            <w:hideMark/>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 </w:t>
            </w:r>
          </w:p>
        </w:tc>
        <w:tc>
          <w:tcPr>
            <w:tcW w:w="813" w:type="dxa"/>
            <w:tcBorders>
              <w:top w:val="nil"/>
              <w:left w:val="nil"/>
              <w:bottom w:val="outset" w:sz="6" w:space="0" w:color="auto"/>
              <w:right w:val="outset" w:sz="6" w:space="0" w:color="auto"/>
            </w:tcBorders>
            <w:vAlign w:val="center"/>
            <w:hideMark/>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 </w:t>
            </w:r>
          </w:p>
        </w:tc>
        <w:tc>
          <w:tcPr>
            <w:tcW w:w="1134"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p>
        </w:tc>
        <w:tc>
          <w:tcPr>
            <w:tcW w:w="1945" w:type="dxa"/>
            <w:gridSpan w:val="2"/>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b/>
                <w:sz w:val="16"/>
                <w:szCs w:val="16"/>
                <w:lang w:eastAsia="en-US"/>
              </w:rPr>
            </w:pPr>
            <w:r w:rsidRPr="005B4F5A">
              <w:rPr>
                <w:rFonts w:ascii="Calibri" w:eastAsia="Calibri" w:hAnsi="Calibri" w:cs="Times New Roman"/>
                <w:b/>
                <w:sz w:val="16"/>
                <w:szCs w:val="16"/>
                <w:lang w:eastAsia="en-US"/>
              </w:rPr>
              <w:t>ESTRATÉGIA DE ALOCAÇÃO - PRÓXIMOS 5 EXERCÍCIOS</w:t>
            </w:r>
          </w:p>
        </w:tc>
      </w:tr>
      <w:tr w:rsidR="005B4F5A" w:rsidRPr="005B4F5A" w:rsidTr="005B4F5A">
        <w:trPr>
          <w:trHeight w:val="254"/>
          <w:jc w:val="center"/>
        </w:trPr>
        <w:tc>
          <w:tcPr>
            <w:tcW w:w="3584" w:type="dxa"/>
            <w:tcBorders>
              <w:top w:val="nil"/>
              <w:left w:val="outset" w:sz="6" w:space="0" w:color="auto"/>
              <w:bottom w:val="outset" w:sz="6" w:space="0" w:color="auto"/>
              <w:right w:val="outset" w:sz="6" w:space="0" w:color="auto"/>
            </w:tcBorders>
            <w:vAlign w:val="center"/>
            <w:hideMark/>
          </w:tcPr>
          <w:p w:rsidR="005B4F5A" w:rsidRPr="005B4F5A" w:rsidRDefault="005B4F5A" w:rsidP="005B4F5A">
            <w:pPr>
              <w:rPr>
                <w:rFonts w:ascii="Calibri" w:eastAsia="Calibri" w:hAnsi="Calibri" w:cs="Times New Roman"/>
                <w:b/>
                <w:sz w:val="16"/>
                <w:szCs w:val="16"/>
                <w:lang w:eastAsia="en-US"/>
              </w:rPr>
            </w:pPr>
            <w:r w:rsidRPr="005B4F5A">
              <w:rPr>
                <w:rFonts w:ascii="Calibri" w:eastAsia="Calibri" w:hAnsi="Calibri" w:cs="Times New Roman"/>
                <w:b/>
                <w:sz w:val="16"/>
                <w:szCs w:val="16"/>
                <w:lang w:eastAsia="en-US"/>
              </w:rPr>
              <w:t> TIPO DE ATIVO</w:t>
            </w:r>
          </w:p>
        </w:tc>
        <w:tc>
          <w:tcPr>
            <w:tcW w:w="851" w:type="dxa"/>
            <w:tcBorders>
              <w:top w:val="nil"/>
              <w:left w:val="nil"/>
              <w:bottom w:val="outset" w:sz="6" w:space="0" w:color="auto"/>
              <w:right w:val="outset" w:sz="6" w:space="0" w:color="auto"/>
            </w:tcBorders>
            <w:vAlign w:val="center"/>
            <w:hideMark/>
          </w:tcPr>
          <w:p w:rsidR="005B4F5A" w:rsidRPr="005B4F5A" w:rsidRDefault="005B4F5A" w:rsidP="005B4F5A">
            <w:pPr>
              <w:jc w:val="center"/>
              <w:rPr>
                <w:rFonts w:ascii="Calibri" w:eastAsia="Calibri" w:hAnsi="Calibri" w:cs="Times New Roman"/>
                <w:b/>
                <w:sz w:val="16"/>
                <w:szCs w:val="16"/>
                <w:lang w:eastAsia="en-US"/>
              </w:rPr>
            </w:pPr>
            <w:r w:rsidRPr="005B4F5A">
              <w:rPr>
                <w:rFonts w:ascii="Calibri" w:eastAsia="Calibri" w:hAnsi="Calibri" w:cs="Times New Roman"/>
                <w:b/>
                <w:sz w:val="16"/>
                <w:szCs w:val="16"/>
                <w:lang w:eastAsia="en-US"/>
              </w:rPr>
              <w:t>Limite Resolução %</w:t>
            </w:r>
          </w:p>
        </w:tc>
        <w:tc>
          <w:tcPr>
            <w:tcW w:w="1385" w:type="dxa"/>
            <w:tcBorders>
              <w:top w:val="nil"/>
              <w:left w:val="nil"/>
              <w:bottom w:val="outset" w:sz="6" w:space="0" w:color="auto"/>
              <w:right w:val="single" w:sz="4" w:space="0" w:color="auto"/>
            </w:tcBorders>
            <w:vAlign w:val="center"/>
            <w:hideMark/>
          </w:tcPr>
          <w:p w:rsidR="005B4F5A" w:rsidRPr="005B4F5A" w:rsidRDefault="005B4F5A" w:rsidP="005B4F5A">
            <w:pPr>
              <w:jc w:val="center"/>
              <w:rPr>
                <w:rFonts w:ascii="Calibri" w:eastAsia="Calibri" w:hAnsi="Calibri" w:cs="Times New Roman"/>
                <w:b/>
                <w:sz w:val="16"/>
                <w:szCs w:val="16"/>
                <w:lang w:eastAsia="en-US"/>
              </w:rPr>
            </w:pPr>
            <w:r w:rsidRPr="005B4F5A">
              <w:rPr>
                <w:rFonts w:ascii="Calibri" w:eastAsia="Calibri" w:hAnsi="Calibri" w:cs="Times New Roman"/>
                <w:b/>
                <w:sz w:val="16"/>
                <w:szCs w:val="16"/>
                <w:lang w:eastAsia="en-US"/>
              </w:rPr>
              <w:t>Posição Atual Carteira (R$)</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b/>
                <w:sz w:val="16"/>
                <w:szCs w:val="16"/>
                <w:lang w:eastAsia="en-US"/>
              </w:rPr>
            </w:pPr>
            <w:r w:rsidRPr="005B4F5A">
              <w:rPr>
                <w:rFonts w:ascii="Calibri" w:eastAsia="Calibri" w:hAnsi="Calibri" w:cs="Times New Roman"/>
                <w:b/>
                <w:sz w:val="16"/>
                <w:szCs w:val="16"/>
                <w:lang w:eastAsia="en-US"/>
              </w:rPr>
              <w:t>Posição Atual Carteira (%)</w:t>
            </w:r>
          </w:p>
        </w:tc>
        <w:tc>
          <w:tcPr>
            <w:tcW w:w="737" w:type="dxa"/>
            <w:tcBorders>
              <w:top w:val="nil"/>
              <w:left w:val="nil"/>
              <w:bottom w:val="outset" w:sz="6" w:space="0" w:color="auto"/>
              <w:right w:val="outset" w:sz="6" w:space="0" w:color="auto"/>
            </w:tcBorders>
            <w:vAlign w:val="center"/>
            <w:hideMark/>
          </w:tcPr>
          <w:p w:rsidR="005B4F5A" w:rsidRPr="005B4F5A" w:rsidRDefault="005B4F5A" w:rsidP="005B4F5A">
            <w:pPr>
              <w:jc w:val="center"/>
              <w:rPr>
                <w:rFonts w:ascii="Calibri" w:eastAsia="Calibri" w:hAnsi="Calibri" w:cs="Times New Roman"/>
                <w:b/>
                <w:sz w:val="16"/>
                <w:szCs w:val="16"/>
                <w:lang w:eastAsia="en-US"/>
              </w:rPr>
            </w:pPr>
            <w:r w:rsidRPr="005B4F5A">
              <w:rPr>
                <w:rFonts w:ascii="Calibri" w:eastAsia="Calibri" w:hAnsi="Calibri" w:cs="Times New Roman"/>
                <w:b/>
                <w:sz w:val="16"/>
                <w:szCs w:val="16"/>
                <w:lang w:eastAsia="en-US"/>
              </w:rPr>
              <w:t>LIMITE INFERIOR %</w:t>
            </w:r>
          </w:p>
        </w:tc>
        <w:tc>
          <w:tcPr>
            <w:tcW w:w="862" w:type="dxa"/>
            <w:tcBorders>
              <w:top w:val="nil"/>
              <w:left w:val="nil"/>
              <w:bottom w:val="outset" w:sz="6" w:space="0" w:color="auto"/>
              <w:right w:val="outset" w:sz="6" w:space="0" w:color="auto"/>
            </w:tcBorders>
            <w:vAlign w:val="center"/>
            <w:hideMark/>
          </w:tcPr>
          <w:p w:rsidR="005B4F5A" w:rsidRPr="005B4F5A" w:rsidRDefault="005B4F5A" w:rsidP="005B4F5A">
            <w:pPr>
              <w:spacing w:after="0"/>
              <w:jc w:val="center"/>
              <w:rPr>
                <w:rFonts w:ascii="Calibri" w:eastAsia="Calibri" w:hAnsi="Calibri" w:cs="Times New Roman"/>
                <w:b/>
                <w:sz w:val="16"/>
                <w:szCs w:val="16"/>
                <w:lang w:eastAsia="en-US"/>
              </w:rPr>
            </w:pPr>
            <w:r w:rsidRPr="005B4F5A">
              <w:rPr>
                <w:rFonts w:ascii="Calibri" w:eastAsia="Calibri" w:hAnsi="Calibri" w:cs="Times New Roman"/>
                <w:b/>
                <w:sz w:val="16"/>
                <w:szCs w:val="16"/>
                <w:lang w:eastAsia="en-US"/>
              </w:rPr>
              <w:t>ESTRATÉGIA</w:t>
            </w:r>
          </w:p>
          <w:p w:rsidR="005B4F5A" w:rsidRPr="005B4F5A" w:rsidRDefault="005B4F5A" w:rsidP="005B4F5A">
            <w:pPr>
              <w:spacing w:after="0"/>
              <w:jc w:val="center"/>
              <w:rPr>
                <w:rFonts w:ascii="Calibri" w:eastAsia="Calibri" w:hAnsi="Calibri" w:cs="Times New Roman"/>
                <w:b/>
                <w:sz w:val="16"/>
                <w:szCs w:val="16"/>
                <w:lang w:eastAsia="en-US"/>
              </w:rPr>
            </w:pPr>
            <w:r w:rsidRPr="005B4F5A">
              <w:rPr>
                <w:rFonts w:ascii="Calibri" w:eastAsia="Calibri" w:hAnsi="Calibri" w:cs="Times New Roman"/>
                <w:b/>
                <w:sz w:val="16"/>
                <w:szCs w:val="16"/>
                <w:lang w:eastAsia="en-US"/>
              </w:rPr>
              <w:t>Alvo %</w:t>
            </w:r>
          </w:p>
        </w:tc>
        <w:tc>
          <w:tcPr>
            <w:tcW w:w="813" w:type="dxa"/>
            <w:tcBorders>
              <w:top w:val="nil"/>
              <w:left w:val="nil"/>
              <w:bottom w:val="outset" w:sz="6" w:space="0" w:color="auto"/>
              <w:right w:val="outset" w:sz="6" w:space="0" w:color="auto"/>
            </w:tcBorders>
            <w:vAlign w:val="center"/>
            <w:hideMark/>
          </w:tcPr>
          <w:p w:rsidR="005B4F5A" w:rsidRPr="005B4F5A" w:rsidRDefault="005B4F5A" w:rsidP="005B4F5A">
            <w:pPr>
              <w:jc w:val="center"/>
              <w:rPr>
                <w:rFonts w:ascii="Calibri" w:eastAsia="Calibri" w:hAnsi="Calibri" w:cs="Times New Roman"/>
                <w:b/>
                <w:sz w:val="16"/>
                <w:szCs w:val="16"/>
                <w:lang w:eastAsia="en-US"/>
              </w:rPr>
            </w:pPr>
            <w:r w:rsidRPr="005B4F5A">
              <w:rPr>
                <w:rFonts w:ascii="Calibri" w:eastAsia="Calibri" w:hAnsi="Calibri" w:cs="Times New Roman"/>
                <w:b/>
                <w:sz w:val="16"/>
                <w:szCs w:val="16"/>
                <w:lang w:eastAsia="en-US"/>
              </w:rPr>
              <w:t>LIMITE SUPERIOR %</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b/>
                <w:sz w:val="16"/>
                <w:szCs w:val="16"/>
                <w:lang w:eastAsia="en-US"/>
              </w:rPr>
            </w:pPr>
            <w:r w:rsidRPr="005B4F5A">
              <w:rPr>
                <w:rFonts w:ascii="Calibri" w:eastAsia="Calibri" w:hAnsi="Calibri" w:cs="Times New Roman"/>
                <w:b/>
                <w:sz w:val="16"/>
                <w:szCs w:val="16"/>
                <w:lang w:eastAsia="en-US"/>
              </w:rPr>
              <w:t>META DE RENTABILIDADE PARA O EXERCÍCIO POR TIPO DE ATIVO</w:t>
            </w:r>
          </w:p>
        </w:tc>
        <w:tc>
          <w:tcPr>
            <w:tcW w:w="1276"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b/>
                <w:sz w:val="16"/>
                <w:szCs w:val="16"/>
                <w:lang w:eastAsia="en-US"/>
              </w:rPr>
            </w:pPr>
            <w:r w:rsidRPr="005B4F5A">
              <w:rPr>
                <w:rFonts w:ascii="Calibri" w:eastAsia="Calibri" w:hAnsi="Calibri" w:cs="Times New Roman"/>
                <w:b/>
                <w:sz w:val="16"/>
                <w:szCs w:val="16"/>
                <w:lang w:eastAsia="en-US"/>
              </w:rPr>
              <w:t>RESUMO DA ESTRATÉGIA</w:t>
            </w:r>
          </w:p>
        </w:tc>
        <w:tc>
          <w:tcPr>
            <w:tcW w:w="992" w:type="dxa"/>
            <w:tcBorders>
              <w:top w:val="nil"/>
              <w:left w:val="nil"/>
              <w:bottom w:val="outset" w:sz="6" w:space="0" w:color="auto"/>
              <w:right w:val="single" w:sz="4" w:space="0" w:color="auto"/>
            </w:tcBorders>
          </w:tcPr>
          <w:p w:rsidR="005B4F5A" w:rsidRPr="005B4F5A" w:rsidRDefault="005B4F5A" w:rsidP="005B4F5A">
            <w:pPr>
              <w:jc w:val="center"/>
              <w:rPr>
                <w:rFonts w:ascii="Calibri" w:eastAsia="Calibri" w:hAnsi="Calibri" w:cs="Times New Roman"/>
                <w:b/>
                <w:sz w:val="16"/>
                <w:szCs w:val="16"/>
                <w:lang w:eastAsia="en-US"/>
              </w:rPr>
            </w:pPr>
            <w:r w:rsidRPr="005B4F5A">
              <w:rPr>
                <w:rFonts w:ascii="Calibri" w:eastAsia="Calibri" w:hAnsi="Calibri" w:cs="Times New Roman"/>
                <w:b/>
                <w:sz w:val="16"/>
                <w:szCs w:val="16"/>
                <w:lang w:eastAsia="en-US"/>
              </w:rPr>
              <w:t>LIMITE INFERIOR (%</w:t>
            </w:r>
          </w:p>
        </w:tc>
        <w:tc>
          <w:tcPr>
            <w:tcW w:w="953" w:type="dxa"/>
            <w:tcBorders>
              <w:top w:val="nil"/>
              <w:left w:val="single" w:sz="4" w:space="0" w:color="auto"/>
              <w:bottom w:val="outset" w:sz="6" w:space="0" w:color="auto"/>
              <w:right w:val="outset" w:sz="6" w:space="0" w:color="auto"/>
            </w:tcBorders>
          </w:tcPr>
          <w:p w:rsidR="005B4F5A" w:rsidRPr="005B4F5A" w:rsidRDefault="005B4F5A" w:rsidP="005B4F5A">
            <w:pPr>
              <w:spacing w:after="0" w:line="240" w:lineRule="auto"/>
              <w:jc w:val="center"/>
              <w:rPr>
                <w:rFonts w:ascii="Calibri" w:eastAsia="Calibri" w:hAnsi="Calibri" w:cs="Times New Roman"/>
                <w:b/>
                <w:sz w:val="16"/>
                <w:szCs w:val="16"/>
                <w:lang w:eastAsia="en-US"/>
              </w:rPr>
            </w:pPr>
            <w:r w:rsidRPr="005B4F5A">
              <w:rPr>
                <w:rFonts w:ascii="Calibri" w:eastAsia="Calibri" w:hAnsi="Calibri" w:cs="Times New Roman"/>
                <w:b/>
                <w:sz w:val="16"/>
                <w:szCs w:val="16"/>
                <w:lang w:eastAsia="en-US"/>
              </w:rPr>
              <w:t>LIMITE</w:t>
            </w:r>
          </w:p>
          <w:p w:rsidR="005B4F5A" w:rsidRPr="005B4F5A" w:rsidRDefault="005B4F5A" w:rsidP="005B4F5A">
            <w:pPr>
              <w:spacing w:after="0" w:line="240" w:lineRule="auto"/>
              <w:jc w:val="center"/>
              <w:rPr>
                <w:rFonts w:ascii="Calibri" w:eastAsia="Calibri" w:hAnsi="Calibri" w:cs="Times New Roman"/>
                <w:b/>
                <w:sz w:val="16"/>
                <w:szCs w:val="16"/>
                <w:lang w:eastAsia="en-US"/>
              </w:rPr>
            </w:pPr>
            <w:r w:rsidRPr="005B4F5A">
              <w:rPr>
                <w:rFonts w:ascii="Calibri" w:eastAsia="Calibri" w:hAnsi="Calibri" w:cs="Times New Roman"/>
                <w:b/>
                <w:sz w:val="16"/>
                <w:szCs w:val="16"/>
                <w:lang w:eastAsia="en-US"/>
              </w:rPr>
              <w:t>SUPERIOR (%)</w:t>
            </w:r>
          </w:p>
        </w:tc>
      </w:tr>
      <w:tr w:rsidR="005B4F5A" w:rsidRPr="005B4F5A" w:rsidTr="005B4F5A">
        <w:trPr>
          <w:trHeight w:val="254"/>
          <w:jc w:val="center"/>
        </w:trPr>
        <w:tc>
          <w:tcPr>
            <w:tcW w:w="3584" w:type="dxa"/>
            <w:tcBorders>
              <w:top w:val="nil"/>
              <w:left w:val="outset" w:sz="6" w:space="0" w:color="auto"/>
              <w:bottom w:val="outset" w:sz="6" w:space="0" w:color="auto"/>
              <w:right w:val="outset" w:sz="6" w:space="0" w:color="auto"/>
            </w:tcBorders>
            <w:vAlign w:val="center"/>
            <w:hideMark/>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Títulos Públicos de emissão do TN (Selic) 7º, I, a</w:t>
            </w:r>
          </w:p>
        </w:tc>
        <w:tc>
          <w:tcPr>
            <w:tcW w:w="851" w:type="dxa"/>
            <w:tcBorders>
              <w:top w:val="nil"/>
              <w:left w:val="nil"/>
              <w:bottom w:val="outset" w:sz="6" w:space="0" w:color="auto"/>
              <w:right w:val="outset" w:sz="6" w:space="0" w:color="auto"/>
            </w:tcBorders>
            <w:vAlign w:val="center"/>
            <w:hideMark/>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100,00</w:t>
            </w: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100,00</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10,50%</w:t>
            </w: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Títulos Públicos Federais</w:t>
            </w:r>
          </w:p>
        </w:tc>
        <w:tc>
          <w:tcPr>
            <w:tcW w:w="99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95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100,00</w:t>
            </w:r>
          </w:p>
        </w:tc>
      </w:tr>
      <w:tr w:rsidR="005B4F5A" w:rsidRPr="005B4F5A" w:rsidTr="005B4F5A">
        <w:trPr>
          <w:trHeight w:val="254"/>
          <w:jc w:val="center"/>
        </w:trPr>
        <w:tc>
          <w:tcPr>
            <w:tcW w:w="3584" w:type="dxa"/>
            <w:tcBorders>
              <w:top w:val="nil"/>
              <w:left w:val="outset" w:sz="6" w:space="0" w:color="auto"/>
              <w:bottom w:val="outset" w:sz="6" w:space="0" w:color="auto"/>
              <w:right w:val="outset" w:sz="6" w:space="0" w:color="auto"/>
            </w:tcBorders>
            <w:vAlign w:val="center"/>
            <w:hideMark/>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FI 100% títulos TN – 7º, I, b</w:t>
            </w:r>
          </w:p>
        </w:tc>
        <w:tc>
          <w:tcPr>
            <w:tcW w:w="851" w:type="dxa"/>
            <w:tcBorders>
              <w:top w:val="nil"/>
              <w:left w:val="nil"/>
              <w:bottom w:val="outset" w:sz="6" w:space="0" w:color="auto"/>
              <w:right w:val="outset" w:sz="6" w:space="0" w:color="auto"/>
            </w:tcBorders>
            <w:vAlign w:val="center"/>
            <w:hideMark/>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100,00</w:t>
            </w: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116.585.629,53</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60,94</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00,00</w:t>
            </w: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100,00</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10,50%</w:t>
            </w: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Títulos Públicos Federais</w:t>
            </w:r>
          </w:p>
        </w:tc>
        <w:tc>
          <w:tcPr>
            <w:tcW w:w="99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95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100,00</w:t>
            </w:r>
          </w:p>
        </w:tc>
      </w:tr>
      <w:tr w:rsidR="005B4F5A" w:rsidRPr="005B4F5A" w:rsidTr="005B4F5A">
        <w:trPr>
          <w:trHeight w:val="254"/>
          <w:jc w:val="center"/>
        </w:trPr>
        <w:tc>
          <w:tcPr>
            <w:tcW w:w="3584" w:type="dxa"/>
            <w:tcBorders>
              <w:top w:val="nil"/>
              <w:left w:val="outset" w:sz="6" w:space="0" w:color="auto"/>
              <w:bottom w:val="outset" w:sz="6" w:space="0" w:color="auto"/>
              <w:right w:val="outset" w:sz="6" w:space="0" w:color="auto"/>
            </w:tcBorders>
            <w:vAlign w:val="center"/>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ETF – 100% Títulos Públicos, 7º, I, c</w:t>
            </w:r>
          </w:p>
        </w:tc>
        <w:tc>
          <w:tcPr>
            <w:tcW w:w="851"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100,00</w:t>
            </w: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100,00</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10,50%</w:t>
            </w: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Títulos Públicos Federais</w:t>
            </w:r>
          </w:p>
        </w:tc>
        <w:tc>
          <w:tcPr>
            <w:tcW w:w="99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95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100,00</w:t>
            </w:r>
          </w:p>
        </w:tc>
      </w:tr>
      <w:tr w:rsidR="005B4F5A" w:rsidRPr="005B4F5A" w:rsidTr="005B4F5A">
        <w:trPr>
          <w:trHeight w:val="254"/>
          <w:jc w:val="center"/>
        </w:trPr>
        <w:tc>
          <w:tcPr>
            <w:tcW w:w="3584" w:type="dxa"/>
            <w:tcBorders>
              <w:top w:val="nil"/>
              <w:left w:val="outset" w:sz="6" w:space="0" w:color="auto"/>
              <w:bottom w:val="outset" w:sz="6" w:space="0" w:color="auto"/>
              <w:right w:val="outset" w:sz="6" w:space="0" w:color="auto"/>
            </w:tcBorders>
            <w:vAlign w:val="center"/>
            <w:hideMark/>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Diretamente em Operações Compromissadas com TP – 7º, II</w:t>
            </w:r>
          </w:p>
        </w:tc>
        <w:tc>
          <w:tcPr>
            <w:tcW w:w="851" w:type="dxa"/>
            <w:tcBorders>
              <w:top w:val="nil"/>
              <w:left w:val="nil"/>
              <w:bottom w:val="outset" w:sz="6" w:space="0" w:color="auto"/>
              <w:right w:val="outset" w:sz="6" w:space="0" w:color="auto"/>
            </w:tcBorders>
            <w:vAlign w:val="center"/>
            <w:hideMark/>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10,50%</w:t>
            </w: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Títulos Públicos Federais</w:t>
            </w:r>
          </w:p>
        </w:tc>
        <w:tc>
          <w:tcPr>
            <w:tcW w:w="99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95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r>
      <w:tr w:rsidR="005B4F5A" w:rsidRPr="005B4F5A" w:rsidTr="005B4F5A">
        <w:trPr>
          <w:trHeight w:val="254"/>
          <w:jc w:val="center"/>
        </w:trPr>
        <w:tc>
          <w:tcPr>
            <w:tcW w:w="3584" w:type="dxa"/>
            <w:tcBorders>
              <w:top w:val="nil"/>
              <w:left w:val="outset" w:sz="6" w:space="0" w:color="auto"/>
              <w:bottom w:val="outset" w:sz="6" w:space="0" w:color="auto"/>
              <w:right w:val="outset" w:sz="6" w:space="0" w:color="auto"/>
            </w:tcBorders>
            <w:vAlign w:val="center"/>
            <w:hideMark/>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FI Renda Fixa – 7º, III, a</w:t>
            </w:r>
          </w:p>
        </w:tc>
        <w:tc>
          <w:tcPr>
            <w:tcW w:w="851" w:type="dxa"/>
            <w:tcBorders>
              <w:top w:val="nil"/>
              <w:left w:val="nil"/>
              <w:bottom w:val="outset" w:sz="6" w:space="0" w:color="auto"/>
              <w:right w:val="outset" w:sz="6" w:space="0" w:color="auto"/>
            </w:tcBorders>
            <w:vAlign w:val="center"/>
            <w:hideMark/>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60,00</w:t>
            </w: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74.737.022,17</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39,06</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36,00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60,00</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11,00%</w:t>
            </w: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Títulos Públicos Federais &amp; Títulos Privados</w:t>
            </w:r>
          </w:p>
        </w:tc>
        <w:tc>
          <w:tcPr>
            <w:tcW w:w="99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95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60,00</w:t>
            </w:r>
          </w:p>
        </w:tc>
      </w:tr>
      <w:tr w:rsidR="005B4F5A" w:rsidRPr="005B4F5A" w:rsidTr="005B4F5A">
        <w:trPr>
          <w:trHeight w:val="254"/>
          <w:jc w:val="center"/>
        </w:trPr>
        <w:tc>
          <w:tcPr>
            <w:tcW w:w="3584" w:type="dxa"/>
            <w:tcBorders>
              <w:top w:val="nil"/>
              <w:left w:val="outset" w:sz="6" w:space="0" w:color="auto"/>
              <w:bottom w:val="outset" w:sz="6" w:space="0" w:color="auto"/>
              <w:right w:val="outset" w:sz="6" w:space="0" w:color="auto"/>
            </w:tcBorders>
            <w:vAlign w:val="center"/>
            <w:hideMark/>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 xml:space="preserve">ETF - Renda Fixa – 7º, III, b </w:t>
            </w:r>
          </w:p>
        </w:tc>
        <w:tc>
          <w:tcPr>
            <w:tcW w:w="851" w:type="dxa"/>
            <w:tcBorders>
              <w:top w:val="nil"/>
              <w:left w:val="nil"/>
              <w:bottom w:val="outset" w:sz="6" w:space="0" w:color="auto"/>
              <w:right w:val="outset" w:sz="6" w:space="0" w:color="auto"/>
            </w:tcBorders>
            <w:vAlign w:val="center"/>
            <w:hideMark/>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60,00</w:t>
            </w: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60,00</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11,00%</w:t>
            </w: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Títulos Públicos Federais &amp; Títulos Privados</w:t>
            </w:r>
          </w:p>
        </w:tc>
        <w:tc>
          <w:tcPr>
            <w:tcW w:w="99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95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60,00</w:t>
            </w:r>
          </w:p>
        </w:tc>
      </w:tr>
      <w:tr w:rsidR="005B4F5A" w:rsidRPr="005B4F5A" w:rsidTr="005B4F5A">
        <w:trPr>
          <w:trHeight w:val="254"/>
          <w:jc w:val="center"/>
        </w:trPr>
        <w:tc>
          <w:tcPr>
            <w:tcW w:w="3584" w:type="dxa"/>
            <w:tcBorders>
              <w:top w:val="nil"/>
              <w:left w:val="outset" w:sz="6" w:space="0" w:color="auto"/>
              <w:bottom w:val="outset" w:sz="6" w:space="0" w:color="auto"/>
              <w:right w:val="outset" w:sz="6" w:space="0" w:color="auto"/>
            </w:tcBorders>
            <w:vAlign w:val="center"/>
            <w:hideMark/>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Ativos Financeiros Renda Fixa (Lista Exaustiva) – 7º, IV</w:t>
            </w:r>
          </w:p>
        </w:tc>
        <w:tc>
          <w:tcPr>
            <w:tcW w:w="851" w:type="dxa"/>
            <w:tcBorders>
              <w:top w:val="nil"/>
              <w:left w:val="nil"/>
              <w:bottom w:val="outset" w:sz="6" w:space="0" w:color="auto"/>
              <w:right w:val="outset" w:sz="6" w:space="0" w:color="auto"/>
            </w:tcBorders>
            <w:vAlign w:val="center"/>
            <w:hideMark/>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20,00</w:t>
            </w: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20,00</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10,50%</w:t>
            </w: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Títulos Privados (Instituições Financeiras – Lista)</w:t>
            </w:r>
          </w:p>
        </w:tc>
        <w:tc>
          <w:tcPr>
            <w:tcW w:w="99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95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20,00</w:t>
            </w:r>
          </w:p>
        </w:tc>
      </w:tr>
      <w:tr w:rsidR="005B4F5A" w:rsidRPr="005B4F5A" w:rsidTr="005B4F5A">
        <w:trPr>
          <w:trHeight w:val="254"/>
          <w:jc w:val="center"/>
        </w:trPr>
        <w:tc>
          <w:tcPr>
            <w:tcW w:w="3584" w:type="dxa"/>
            <w:tcBorders>
              <w:top w:val="nil"/>
              <w:left w:val="outset" w:sz="6" w:space="0" w:color="auto"/>
              <w:bottom w:val="outset" w:sz="6" w:space="0" w:color="auto"/>
              <w:right w:val="outset" w:sz="6" w:space="0" w:color="auto"/>
            </w:tcBorders>
            <w:vAlign w:val="center"/>
            <w:hideMark/>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FI em Direitos Creditórios – Cota Sênior – 7º, V, a</w:t>
            </w:r>
          </w:p>
        </w:tc>
        <w:tc>
          <w:tcPr>
            <w:tcW w:w="851" w:type="dxa"/>
            <w:tcBorders>
              <w:top w:val="nil"/>
              <w:left w:val="nil"/>
              <w:bottom w:val="outset" w:sz="6" w:space="0" w:color="auto"/>
              <w:right w:val="outset" w:sz="6" w:space="0" w:color="auto"/>
            </w:tcBorders>
            <w:vAlign w:val="center"/>
            <w:hideMark/>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12,00%</w:t>
            </w: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 xml:space="preserve">Títulos Privados </w:t>
            </w:r>
          </w:p>
        </w:tc>
        <w:tc>
          <w:tcPr>
            <w:tcW w:w="99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95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r>
      <w:tr w:rsidR="005B4F5A" w:rsidRPr="005B4F5A" w:rsidTr="005B4F5A">
        <w:trPr>
          <w:trHeight w:val="254"/>
          <w:jc w:val="center"/>
        </w:trPr>
        <w:tc>
          <w:tcPr>
            <w:tcW w:w="3584" w:type="dxa"/>
            <w:tcBorders>
              <w:top w:val="nil"/>
              <w:left w:val="outset" w:sz="6" w:space="0" w:color="auto"/>
              <w:bottom w:val="outset" w:sz="6" w:space="0" w:color="auto"/>
              <w:right w:val="outset" w:sz="6" w:space="0" w:color="auto"/>
            </w:tcBorders>
            <w:vAlign w:val="center"/>
            <w:hideMark/>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FI Renda Fixa "Crédito Privado" – 7º, V, b</w:t>
            </w:r>
          </w:p>
        </w:tc>
        <w:tc>
          <w:tcPr>
            <w:tcW w:w="851" w:type="dxa"/>
            <w:tcBorders>
              <w:top w:val="nil"/>
              <w:left w:val="nil"/>
              <w:bottom w:val="outset" w:sz="6" w:space="0" w:color="auto"/>
              <w:right w:val="outset" w:sz="6" w:space="0" w:color="auto"/>
            </w:tcBorders>
            <w:vAlign w:val="center"/>
            <w:hideMark/>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12,00%</w:t>
            </w: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Títulos Privados</w:t>
            </w:r>
          </w:p>
        </w:tc>
        <w:tc>
          <w:tcPr>
            <w:tcW w:w="99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95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r>
      <w:tr w:rsidR="005B4F5A" w:rsidRPr="005B4F5A" w:rsidTr="005B4F5A">
        <w:trPr>
          <w:trHeight w:val="770"/>
          <w:jc w:val="center"/>
        </w:trPr>
        <w:tc>
          <w:tcPr>
            <w:tcW w:w="3584" w:type="dxa"/>
            <w:tcBorders>
              <w:top w:val="nil"/>
              <w:left w:val="outset" w:sz="6" w:space="0" w:color="auto"/>
              <w:bottom w:val="outset" w:sz="6" w:space="0" w:color="auto"/>
              <w:right w:val="outset" w:sz="6" w:space="0" w:color="auto"/>
            </w:tcBorders>
            <w:vAlign w:val="center"/>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FI Debêntures de Infraestrutura – 7º, V, c</w:t>
            </w:r>
          </w:p>
        </w:tc>
        <w:tc>
          <w:tcPr>
            <w:tcW w:w="851"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12,50%</w:t>
            </w: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Títulos Privados</w:t>
            </w:r>
          </w:p>
        </w:tc>
        <w:tc>
          <w:tcPr>
            <w:tcW w:w="99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95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r>
      <w:tr w:rsidR="005B4F5A" w:rsidRPr="005B4F5A" w:rsidTr="005B4F5A">
        <w:trPr>
          <w:trHeight w:val="254"/>
          <w:jc w:val="center"/>
        </w:trPr>
        <w:tc>
          <w:tcPr>
            <w:tcW w:w="3584" w:type="dxa"/>
            <w:tcBorders>
              <w:top w:val="nil"/>
              <w:left w:val="outset" w:sz="6" w:space="0" w:color="auto"/>
              <w:bottom w:val="outset" w:sz="6" w:space="0" w:color="auto"/>
              <w:right w:val="outset" w:sz="6" w:space="0" w:color="auto"/>
            </w:tcBorders>
            <w:vAlign w:val="center"/>
            <w:hideMark/>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lastRenderedPageBreak/>
              <w:t>FI de Ações – 8º, I</w:t>
            </w:r>
          </w:p>
        </w:tc>
        <w:tc>
          <w:tcPr>
            <w:tcW w:w="851" w:type="dxa"/>
            <w:tcBorders>
              <w:top w:val="nil"/>
              <w:left w:val="nil"/>
              <w:bottom w:val="outset" w:sz="6" w:space="0" w:color="auto"/>
              <w:right w:val="outset" w:sz="6" w:space="0" w:color="auto"/>
            </w:tcBorders>
            <w:vAlign w:val="center"/>
            <w:hideMark/>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30,00</w:t>
            </w: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30,00</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12%</w:t>
            </w: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Ações</w:t>
            </w:r>
          </w:p>
        </w:tc>
        <w:tc>
          <w:tcPr>
            <w:tcW w:w="99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95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30,00</w:t>
            </w:r>
          </w:p>
        </w:tc>
      </w:tr>
      <w:tr w:rsidR="005B4F5A" w:rsidRPr="005B4F5A" w:rsidTr="005B4F5A">
        <w:trPr>
          <w:trHeight w:val="254"/>
          <w:jc w:val="center"/>
        </w:trPr>
        <w:tc>
          <w:tcPr>
            <w:tcW w:w="3584" w:type="dxa"/>
            <w:tcBorders>
              <w:top w:val="nil"/>
              <w:left w:val="outset" w:sz="6" w:space="0" w:color="auto"/>
              <w:bottom w:val="outset" w:sz="6" w:space="0" w:color="auto"/>
              <w:right w:val="outset" w:sz="6" w:space="0" w:color="auto"/>
            </w:tcBorders>
            <w:vAlign w:val="center"/>
            <w:hideMark/>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 xml:space="preserve">ETF - Índice de Ações – 8º, II </w:t>
            </w:r>
          </w:p>
        </w:tc>
        <w:tc>
          <w:tcPr>
            <w:tcW w:w="851" w:type="dxa"/>
            <w:tcBorders>
              <w:top w:val="nil"/>
              <w:left w:val="nil"/>
              <w:bottom w:val="outset" w:sz="6" w:space="0" w:color="auto"/>
              <w:right w:val="outset" w:sz="6" w:space="0" w:color="auto"/>
            </w:tcBorders>
            <w:vAlign w:val="center"/>
            <w:hideMark/>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30,00</w:t>
            </w: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20,00</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12%</w:t>
            </w: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Ações</w:t>
            </w:r>
          </w:p>
        </w:tc>
        <w:tc>
          <w:tcPr>
            <w:tcW w:w="99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95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30,00</w:t>
            </w:r>
          </w:p>
        </w:tc>
      </w:tr>
      <w:tr w:rsidR="005B4F5A" w:rsidRPr="005B4F5A" w:rsidTr="005B4F5A">
        <w:trPr>
          <w:trHeight w:val="254"/>
          <w:jc w:val="center"/>
        </w:trPr>
        <w:tc>
          <w:tcPr>
            <w:tcW w:w="3584" w:type="dxa"/>
            <w:tcBorders>
              <w:top w:val="nil"/>
              <w:left w:val="outset" w:sz="6" w:space="0" w:color="auto"/>
              <w:bottom w:val="outset" w:sz="6" w:space="0" w:color="auto"/>
              <w:right w:val="outset" w:sz="6" w:space="0" w:color="auto"/>
            </w:tcBorders>
            <w:vAlign w:val="center"/>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FIC e FIC FI - Renda Fixa - Dívida Externa - 9º, I</w:t>
            </w:r>
          </w:p>
        </w:tc>
        <w:tc>
          <w:tcPr>
            <w:tcW w:w="851"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w:t>
            </w: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p>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11%</w:t>
            </w: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p>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Dívida Externa</w:t>
            </w:r>
          </w:p>
        </w:tc>
        <w:tc>
          <w:tcPr>
            <w:tcW w:w="99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95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w:t>
            </w:r>
          </w:p>
        </w:tc>
      </w:tr>
      <w:tr w:rsidR="005B4F5A" w:rsidRPr="005B4F5A" w:rsidTr="005B4F5A">
        <w:trPr>
          <w:trHeight w:val="254"/>
          <w:jc w:val="center"/>
        </w:trPr>
        <w:tc>
          <w:tcPr>
            <w:tcW w:w="3584" w:type="dxa"/>
            <w:tcBorders>
              <w:top w:val="nil"/>
              <w:left w:val="outset" w:sz="6" w:space="0" w:color="auto"/>
              <w:bottom w:val="outset" w:sz="6" w:space="0" w:color="auto"/>
              <w:right w:val="outset" w:sz="6" w:space="0" w:color="auto"/>
            </w:tcBorders>
            <w:vAlign w:val="center"/>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FIC - Aberto - Investimento no Exterior - 9º, II</w:t>
            </w:r>
          </w:p>
        </w:tc>
        <w:tc>
          <w:tcPr>
            <w:tcW w:w="851"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w:t>
            </w: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p>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11%</w:t>
            </w: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p>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Diversos fatores de risco</w:t>
            </w:r>
          </w:p>
        </w:tc>
        <w:tc>
          <w:tcPr>
            <w:tcW w:w="99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95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w:t>
            </w:r>
          </w:p>
        </w:tc>
      </w:tr>
      <w:tr w:rsidR="005B4F5A" w:rsidRPr="005B4F5A" w:rsidTr="005B4F5A">
        <w:trPr>
          <w:trHeight w:val="254"/>
          <w:jc w:val="center"/>
        </w:trPr>
        <w:tc>
          <w:tcPr>
            <w:tcW w:w="3584" w:type="dxa"/>
            <w:tcBorders>
              <w:top w:val="nil"/>
              <w:left w:val="outset" w:sz="6" w:space="0" w:color="auto"/>
              <w:bottom w:val="outset" w:sz="6" w:space="0" w:color="auto"/>
              <w:right w:val="outset" w:sz="6" w:space="0" w:color="auto"/>
            </w:tcBorders>
            <w:vAlign w:val="center"/>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Fundos de Ações – BDR Nível I - 9º, III</w:t>
            </w:r>
          </w:p>
        </w:tc>
        <w:tc>
          <w:tcPr>
            <w:tcW w:w="851"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w:t>
            </w: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p>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p>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15%</w:t>
            </w: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p>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Ações - BDR</w:t>
            </w:r>
          </w:p>
        </w:tc>
        <w:tc>
          <w:tcPr>
            <w:tcW w:w="99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95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w:t>
            </w:r>
          </w:p>
        </w:tc>
      </w:tr>
      <w:tr w:rsidR="005B4F5A" w:rsidRPr="005B4F5A" w:rsidTr="005B4F5A">
        <w:trPr>
          <w:trHeight w:val="254"/>
          <w:jc w:val="center"/>
        </w:trPr>
        <w:tc>
          <w:tcPr>
            <w:tcW w:w="3584" w:type="dxa"/>
            <w:tcBorders>
              <w:top w:val="nil"/>
              <w:left w:val="outset" w:sz="6" w:space="0" w:color="auto"/>
              <w:bottom w:val="outset" w:sz="6" w:space="0" w:color="auto"/>
              <w:right w:val="outset" w:sz="6" w:space="0" w:color="auto"/>
            </w:tcBorders>
            <w:vAlign w:val="center"/>
            <w:hideMark/>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FI Multimercado – Aberto – 10º, I</w:t>
            </w:r>
          </w:p>
        </w:tc>
        <w:tc>
          <w:tcPr>
            <w:tcW w:w="851" w:type="dxa"/>
            <w:tcBorders>
              <w:top w:val="nil"/>
              <w:left w:val="nil"/>
              <w:bottom w:val="outset" w:sz="6" w:space="0" w:color="auto"/>
              <w:right w:val="outset" w:sz="6" w:space="0" w:color="auto"/>
            </w:tcBorders>
            <w:vAlign w:val="center"/>
            <w:hideMark/>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w:t>
            </w: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11,50%</w:t>
            </w: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Diversos fatores de risco</w:t>
            </w:r>
          </w:p>
        </w:tc>
        <w:tc>
          <w:tcPr>
            <w:tcW w:w="99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95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w:t>
            </w:r>
          </w:p>
        </w:tc>
      </w:tr>
      <w:tr w:rsidR="005B4F5A" w:rsidRPr="005B4F5A" w:rsidTr="005B4F5A">
        <w:trPr>
          <w:trHeight w:val="290"/>
          <w:jc w:val="center"/>
        </w:trPr>
        <w:tc>
          <w:tcPr>
            <w:tcW w:w="3584" w:type="dxa"/>
            <w:tcBorders>
              <w:top w:val="nil"/>
              <w:left w:val="outset" w:sz="6" w:space="0" w:color="auto"/>
              <w:bottom w:val="outset" w:sz="6" w:space="0" w:color="auto"/>
              <w:right w:val="outset" w:sz="6" w:space="0" w:color="auto"/>
            </w:tcBorders>
            <w:vAlign w:val="center"/>
            <w:hideMark/>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FI em Participações – 10º, II</w:t>
            </w:r>
          </w:p>
        </w:tc>
        <w:tc>
          <w:tcPr>
            <w:tcW w:w="851" w:type="dxa"/>
            <w:tcBorders>
              <w:top w:val="nil"/>
              <w:left w:val="nil"/>
              <w:bottom w:val="outset" w:sz="6" w:space="0" w:color="auto"/>
              <w:right w:val="outset" w:sz="6" w:space="0" w:color="auto"/>
            </w:tcBorders>
            <w:vAlign w:val="center"/>
            <w:hideMark/>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14%</w:t>
            </w: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Participações em projetos</w:t>
            </w:r>
          </w:p>
        </w:tc>
        <w:tc>
          <w:tcPr>
            <w:tcW w:w="99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95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r>
      <w:tr w:rsidR="005B4F5A" w:rsidRPr="005B4F5A" w:rsidTr="005B4F5A">
        <w:trPr>
          <w:trHeight w:val="254"/>
          <w:jc w:val="center"/>
        </w:trPr>
        <w:tc>
          <w:tcPr>
            <w:tcW w:w="3584" w:type="dxa"/>
            <w:tcBorders>
              <w:top w:val="nil"/>
              <w:left w:val="outset" w:sz="6" w:space="0" w:color="auto"/>
              <w:bottom w:val="outset" w:sz="6" w:space="0" w:color="auto"/>
              <w:right w:val="outset" w:sz="6" w:space="0" w:color="auto"/>
            </w:tcBorders>
            <w:vAlign w:val="center"/>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FI Ações - Mercado de Acesso - 10º, III</w:t>
            </w:r>
          </w:p>
        </w:tc>
        <w:tc>
          <w:tcPr>
            <w:tcW w:w="851"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p>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11,50%</w:t>
            </w:r>
          </w:p>
          <w:p w:rsidR="005B4F5A" w:rsidRPr="005B4F5A" w:rsidRDefault="005B4F5A" w:rsidP="005B4F5A">
            <w:pPr>
              <w:jc w:val="center"/>
              <w:rPr>
                <w:rFonts w:ascii="Calibri" w:eastAsia="Calibri" w:hAnsi="Calibri" w:cs="Times New Roman"/>
                <w:sz w:val="16"/>
                <w:szCs w:val="16"/>
                <w:lang w:eastAsia="en-US"/>
              </w:rPr>
            </w:pP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 xml:space="preserve">Ações </w:t>
            </w:r>
          </w:p>
        </w:tc>
        <w:tc>
          <w:tcPr>
            <w:tcW w:w="99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95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r>
      <w:tr w:rsidR="005B4F5A" w:rsidRPr="005B4F5A" w:rsidTr="005B4F5A">
        <w:trPr>
          <w:trHeight w:val="254"/>
          <w:jc w:val="center"/>
        </w:trPr>
        <w:tc>
          <w:tcPr>
            <w:tcW w:w="3584" w:type="dxa"/>
            <w:tcBorders>
              <w:top w:val="nil"/>
              <w:left w:val="outset" w:sz="6" w:space="0" w:color="auto"/>
              <w:bottom w:val="outset" w:sz="6" w:space="0" w:color="auto"/>
              <w:right w:val="outset" w:sz="6" w:space="0" w:color="auto"/>
            </w:tcBorders>
            <w:vAlign w:val="center"/>
            <w:hideMark/>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 FI Imobiliário – 11º</w:t>
            </w:r>
          </w:p>
        </w:tc>
        <w:tc>
          <w:tcPr>
            <w:tcW w:w="851" w:type="dxa"/>
            <w:tcBorders>
              <w:top w:val="nil"/>
              <w:left w:val="nil"/>
              <w:bottom w:val="outset" w:sz="6" w:space="0" w:color="auto"/>
              <w:right w:val="outset" w:sz="6" w:space="0" w:color="auto"/>
            </w:tcBorders>
            <w:vAlign w:val="center"/>
            <w:hideMark/>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12%</w:t>
            </w: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Imobiliário</w:t>
            </w:r>
          </w:p>
        </w:tc>
        <w:tc>
          <w:tcPr>
            <w:tcW w:w="99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95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r>
      <w:tr w:rsidR="005B4F5A" w:rsidRPr="005B4F5A" w:rsidTr="005B4F5A">
        <w:trPr>
          <w:trHeight w:val="955"/>
          <w:jc w:val="center"/>
        </w:trPr>
        <w:tc>
          <w:tcPr>
            <w:tcW w:w="3584" w:type="dxa"/>
            <w:tcBorders>
              <w:top w:val="nil"/>
              <w:left w:val="outset" w:sz="6" w:space="0" w:color="auto"/>
              <w:bottom w:val="outset" w:sz="6" w:space="0" w:color="auto"/>
              <w:right w:val="outset" w:sz="6" w:space="0" w:color="auto"/>
            </w:tcBorders>
            <w:vAlign w:val="center"/>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Empréstimo Consignado – 12º, I</w:t>
            </w:r>
          </w:p>
        </w:tc>
        <w:tc>
          <w:tcPr>
            <w:tcW w:w="851"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p>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13%</w:t>
            </w:r>
          </w:p>
          <w:p w:rsidR="005B4F5A" w:rsidRPr="005B4F5A" w:rsidRDefault="005B4F5A" w:rsidP="005B4F5A">
            <w:pPr>
              <w:jc w:val="center"/>
              <w:rPr>
                <w:rFonts w:ascii="Calibri" w:eastAsia="Calibri" w:hAnsi="Calibri" w:cs="Times New Roman"/>
                <w:sz w:val="16"/>
                <w:szCs w:val="16"/>
                <w:lang w:eastAsia="en-US"/>
              </w:rPr>
            </w:pP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p>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Empréstimos</w:t>
            </w:r>
          </w:p>
        </w:tc>
        <w:tc>
          <w:tcPr>
            <w:tcW w:w="99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95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5,00</w:t>
            </w:r>
          </w:p>
        </w:tc>
      </w:tr>
      <w:tr w:rsidR="005B4F5A" w:rsidRPr="005B4F5A" w:rsidTr="005B4F5A">
        <w:trPr>
          <w:trHeight w:val="254"/>
          <w:jc w:val="center"/>
        </w:trPr>
        <w:tc>
          <w:tcPr>
            <w:tcW w:w="3584" w:type="dxa"/>
            <w:tcBorders>
              <w:top w:val="nil"/>
              <w:left w:val="outset" w:sz="6" w:space="0" w:color="auto"/>
              <w:bottom w:val="outset" w:sz="6" w:space="0" w:color="auto"/>
              <w:right w:val="outset" w:sz="6" w:space="0" w:color="auto"/>
            </w:tcBorders>
            <w:vAlign w:val="center"/>
            <w:hideMark/>
          </w:tcPr>
          <w:p w:rsidR="005B4F5A" w:rsidRPr="005B4F5A" w:rsidRDefault="005B4F5A" w:rsidP="005B4F5A">
            <w:pP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TOTAL</w:t>
            </w:r>
          </w:p>
        </w:tc>
        <w:tc>
          <w:tcPr>
            <w:tcW w:w="851" w:type="dxa"/>
            <w:tcBorders>
              <w:top w:val="nil"/>
              <w:left w:val="nil"/>
              <w:bottom w:val="outset" w:sz="6" w:space="0" w:color="auto"/>
              <w:right w:val="outset" w:sz="6" w:space="0" w:color="auto"/>
            </w:tcBorders>
            <w:vAlign w:val="center"/>
            <w:hideMark/>
          </w:tcPr>
          <w:p w:rsidR="005B4F5A" w:rsidRPr="005B4F5A" w:rsidRDefault="005B4F5A" w:rsidP="005B4F5A">
            <w:pPr>
              <w:jc w:val="center"/>
              <w:rPr>
                <w:rFonts w:ascii="Calibri" w:eastAsia="Calibri" w:hAnsi="Calibri" w:cs="Times New Roman"/>
                <w:sz w:val="16"/>
                <w:szCs w:val="16"/>
                <w:lang w:eastAsia="en-US"/>
              </w:rPr>
            </w:pPr>
          </w:p>
        </w:tc>
        <w:tc>
          <w:tcPr>
            <w:tcW w:w="1385" w:type="dxa"/>
            <w:tcBorders>
              <w:top w:val="nil"/>
              <w:left w:val="nil"/>
              <w:bottom w:val="outset" w:sz="6" w:space="0" w:color="auto"/>
              <w:right w:val="single" w:sz="4"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0,00</w:t>
            </w:r>
          </w:p>
        </w:tc>
        <w:tc>
          <w:tcPr>
            <w:tcW w:w="739" w:type="dxa"/>
            <w:tcBorders>
              <w:top w:val="nil"/>
              <w:left w:val="single" w:sz="4" w:space="0" w:color="auto"/>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100,00</w:t>
            </w:r>
          </w:p>
        </w:tc>
        <w:tc>
          <w:tcPr>
            <w:tcW w:w="737"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p>
        </w:tc>
        <w:tc>
          <w:tcPr>
            <w:tcW w:w="862"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r w:rsidRPr="005B4F5A">
              <w:rPr>
                <w:rFonts w:ascii="Calibri" w:eastAsia="Calibri" w:hAnsi="Calibri" w:cs="Times New Roman"/>
                <w:sz w:val="16"/>
                <w:szCs w:val="16"/>
                <w:lang w:eastAsia="en-US"/>
              </w:rPr>
              <w:t>100,00</w:t>
            </w:r>
          </w:p>
        </w:tc>
        <w:tc>
          <w:tcPr>
            <w:tcW w:w="813" w:type="dxa"/>
            <w:tcBorders>
              <w:top w:val="nil"/>
              <w:left w:val="nil"/>
              <w:bottom w:val="outset" w:sz="6" w:space="0" w:color="auto"/>
              <w:right w:val="outset" w:sz="6" w:space="0" w:color="auto"/>
            </w:tcBorders>
            <w:vAlign w:val="center"/>
          </w:tcPr>
          <w:p w:rsidR="005B4F5A" w:rsidRPr="005B4F5A" w:rsidRDefault="005B4F5A" w:rsidP="005B4F5A">
            <w:pPr>
              <w:jc w:val="center"/>
              <w:rPr>
                <w:rFonts w:ascii="Calibri" w:eastAsia="Calibri" w:hAnsi="Calibri" w:cs="Times New Roman"/>
                <w:sz w:val="16"/>
                <w:szCs w:val="16"/>
                <w:lang w:eastAsia="en-US"/>
              </w:rPr>
            </w:pPr>
          </w:p>
        </w:tc>
        <w:tc>
          <w:tcPr>
            <w:tcW w:w="1134" w:type="dxa"/>
            <w:tcBorders>
              <w:top w:val="nil"/>
              <w:left w:val="nil"/>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p>
        </w:tc>
        <w:tc>
          <w:tcPr>
            <w:tcW w:w="1276" w:type="dxa"/>
            <w:tcBorders>
              <w:top w:val="nil"/>
              <w:left w:val="nil"/>
              <w:bottom w:val="outset" w:sz="6" w:space="0" w:color="auto"/>
              <w:right w:val="outset" w:sz="6" w:space="0" w:color="auto"/>
            </w:tcBorders>
          </w:tcPr>
          <w:p w:rsidR="005B4F5A" w:rsidRPr="005B4F5A" w:rsidRDefault="005B4F5A" w:rsidP="005B4F5A">
            <w:pPr>
              <w:rPr>
                <w:rFonts w:ascii="Calibri" w:eastAsia="Calibri" w:hAnsi="Calibri" w:cs="Times New Roman"/>
                <w:sz w:val="16"/>
                <w:szCs w:val="16"/>
                <w:lang w:eastAsia="en-US"/>
              </w:rPr>
            </w:pPr>
          </w:p>
        </w:tc>
        <w:tc>
          <w:tcPr>
            <w:tcW w:w="992" w:type="dxa"/>
            <w:tcBorders>
              <w:top w:val="nil"/>
              <w:left w:val="nil"/>
              <w:bottom w:val="outset" w:sz="6" w:space="0" w:color="auto"/>
              <w:right w:val="single" w:sz="4" w:space="0" w:color="auto"/>
            </w:tcBorders>
          </w:tcPr>
          <w:p w:rsidR="005B4F5A" w:rsidRPr="005B4F5A" w:rsidRDefault="005B4F5A" w:rsidP="005B4F5A">
            <w:pPr>
              <w:jc w:val="center"/>
              <w:rPr>
                <w:rFonts w:ascii="Calibri" w:eastAsia="Calibri" w:hAnsi="Calibri" w:cs="Times New Roman"/>
                <w:sz w:val="16"/>
                <w:szCs w:val="16"/>
                <w:lang w:eastAsia="en-US"/>
              </w:rPr>
            </w:pPr>
          </w:p>
        </w:tc>
        <w:tc>
          <w:tcPr>
            <w:tcW w:w="953" w:type="dxa"/>
            <w:tcBorders>
              <w:top w:val="nil"/>
              <w:left w:val="single" w:sz="4" w:space="0" w:color="auto"/>
              <w:bottom w:val="outset" w:sz="6" w:space="0" w:color="auto"/>
              <w:right w:val="outset" w:sz="6" w:space="0" w:color="auto"/>
            </w:tcBorders>
          </w:tcPr>
          <w:p w:rsidR="005B4F5A" w:rsidRPr="005B4F5A" w:rsidRDefault="005B4F5A" w:rsidP="005B4F5A">
            <w:pPr>
              <w:jc w:val="center"/>
              <w:rPr>
                <w:rFonts w:ascii="Calibri" w:eastAsia="Calibri" w:hAnsi="Calibri" w:cs="Times New Roman"/>
                <w:sz w:val="16"/>
                <w:szCs w:val="16"/>
                <w:lang w:eastAsia="en-US"/>
              </w:rPr>
            </w:pPr>
          </w:p>
        </w:tc>
      </w:tr>
      <w:bookmarkEnd w:id="0"/>
    </w:tbl>
    <w:p w:rsidR="005B4F5A" w:rsidRDefault="005B4F5A" w:rsidP="003471CC">
      <w:pPr>
        <w:tabs>
          <w:tab w:val="left" w:pos="3750"/>
        </w:tabs>
        <w:spacing w:after="0"/>
        <w:jc w:val="both"/>
        <w:rPr>
          <w:rFonts w:ascii="Bookman Old Style" w:hAnsi="Bookman Old Style" w:cs="Arial"/>
          <w:b/>
          <w:sz w:val="21"/>
          <w:szCs w:val="21"/>
        </w:rPr>
      </w:pPr>
    </w:p>
    <w:p w:rsidR="005B4F5A" w:rsidRDefault="005B4F5A" w:rsidP="003471CC">
      <w:pPr>
        <w:tabs>
          <w:tab w:val="left" w:pos="3750"/>
        </w:tabs>
        <w:spacing w:after="0"/>
        <w:jc w:val="both"/>
        <w:rPr>
          <w:rFonts w:ascii="Bookman Old Style" w:hAnsi="Bookman Old Style" w:cs="Arial"/>
          <w:b/>
          <w:sz w:val="21"/>
          <w:szCs w:val="21"/>
        </w:rPr>
      </w:pPr>
    </w:p>
    <w:p w:rsidR="005B4F5A" w:rsidRDefault="005B4F5A" w:rsidP="003471CC">
      <w:pPr>
        <w:tabs>
          <w:tab w:val="left" w:pos="3750"/>
        </w:tabs>
        <w:spacing w:after="0"/>
        <w:jc w:val="both"/>
        <w:rPr>
          <w:rFonts w:ascii="Bookman Old Style" w:hAnsi="Bookman Old Style" w:cs="Arial"/>
          <w:b/>
          <w:sz w:val="21"/>
          <w:szCs w:val="21"/>
        </w:rPr>
      </w:pPr>
    </w:p>
    <w:sectPr w:rsidR="005B4F5A" w:rsidSect="005B4F5A">
      <w:pgSz w:w="16838" w:h="11906" w:orient="landscape"/>
      <w:pgMar w:top="1134" w:right="85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3DE" w:rsidRDefault="009313DE" w:rsidP="00611C8B">
      <w:pPr>
        <w:spacing w:after="0" w:line="240" w:lineRule="auto"/>
      </w:pPr>
      <w:r>
        <w:separator/>
      </w:r>
    </w:p>
  </w:endnote>
  <w:endnote w:type="continuationSeparator" w:id="0">
    <w:p w:rsidR="009313DE" w:rsidRDefault="009313DE" w:rsidP="0061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OldStyle">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ookmanOldStyle,BoldItali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3DE" w:rsidRDefault="009313DE" w:rsidP="00611C8B">
      <w:pPr>
        <w:spacing w:after="0" w:line="240" w:lineRule="auto"/>
      </w:pPr>
      <w:r>
        <w:separator/>
      </w:r>
    </w:p>
  </w:footnote>
  <w:footnote w:type="continuationSeparator" w:id="0">
    <w:p w:rsidR="009313DE" w:rsidRDefault="009313DE" w:rsidP="00611C8B">
      <w:pPr>
        <w:spacing w:after="0" w:line="240" w:lineRule="auto"/>
      </w:pPr>
      <w:r>
        <w:continuationSeparator/>
      </w:r>
    </w:p>
  </w:footnote>
  <w:footnote w:id="1">
    <w:p w:rsidR="00776AED" w:rsidRDefault="00776AED" w:rsidP="005B4F5A">
      <w:pPr>
        <w:pStyle w:val="Textodenotaderodap"/>
      </w:pPr>
      <w:r>
        <w:rPr>
          <w:rStyle w:val="Refdenotaderodap"/>
        </w:rPr>
        <w:footnoteRef/>
      </w:r>
      <w:r>
        <w:t xml:space="preserve"> </w:t>
      </w:r>
      <w:r w:rsidRPr="00820109">
        <w:rPr>
          <w:sz w:val="12"/>
          <w:szCs w:val="12"/>
        </w:rPr>
        <w:t>RPPS – Regime Próprio de Previdência Social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019"/>
    <w:multiLevelType w:val="multilevel"/>
    <w:tmpl w:val="33C42C28"/>
    <w:lvl w:ilvl="0">
      <w:start w:val="1"/>
      <w:numFmt w:val="decimal"/>
      <w:lvlText w:val="%1."/>
      <w:lvlJc w:val="left"/>
      <w:pPr>
        <w:ind w:left="720" w:hanging="360"/>
      </w:pPr>
      <w:rPr>
        <w:rFonts w:cs="Tahoma,Bold" w:hint="default"/>
      </w:rPr>
    </w:lvl>
    <w:lvl w:ilvl="1">
      <w:start w:val="2"/>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756659"/>
    <w:multiLevelType w:val="hybridMultilevel"/>
    <w:tmpl w:val="696CBBA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B16BFF"/>
    <w:multiLevelType w:val="hybridMultilevel"/>
    <w:tmpl w:val="C48839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354197"/>
    <w:multiLevelType w:val="hybridMultilevel"/>
    <w:tmpl w:val="74C642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8C442A"/>
    <w:multiLevelType w:val="hybridMultilevel"/>
    <w:tmpl w:val="D336701E"/>
    <w:lvl w:ilvl="0" w:tplc="C464BD0A">
      <w:start w:val="1"/>
      <w:numFmt w:val="upperRoman"/>
      <w:lvlText w:val="%1-"/>
      <w:lvlJc w:val="left"/>
      <w:pPr>
        <w:ind w:left="1080" w:hanging="720"/>
      </w:pPr>
      <w:rPr>
        <w:rFonts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A72AC8"/>
    <w:multiLevelType w:val="hybridMultilevel"/>
    <w:tmpl w:val="D3DC3976"/>
    <w:lvl w:ilvl="0" w:tplc="04160017">
      <w:start w:val="1"/>
      <w:numFmt w:val="lowerLetter"/>
      <w:lvlText w:val="%1)"/>
      <w:lvlJc w:val="left"/>
      <w:pPr>
        <w:ind w:left="720" w:hanging="360"/>
      </w:pPr>
    </w:lvl>
    <w:lvl w:ilvl="1" w:tplc="04160011">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C23DA3"/>
    <w:multiLevelType w:val="hybridMultilevel"/>
    <w:tmpl w:val="A5A6715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EF12E0"/>
    <w:multiLevelType w:val="hybridMultilevel"/>
    <w:tmpl w:val="99E8F4D8"/>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611579"/>
    <w:multiLevelType w:val="hybridMultilevel"/>
    <w:tmpl w:val="E22065D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BD258C8"/>
    <w:multiLevelType w:val="hybridMultilevel"/>
    <w:tmpl w:val="621892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3017917"/>
    <w:multiLevelType w:val="hybridMultilevel"/>
    <w:tmpl w:val="8C54E6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5954121"/>
    <w:multiLevelType w:val="hybridMultilevel"/>
    <w:tmpl w:val="A7D4FD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C86FB8"/>
    <w:multiLevelType w:val="hybridMultilevel"/>
    <w:tmpl w:val="008C39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A84106B"/>
    <w:multiLevelType w:val="hybridMultilevel"/>
    <w:tmpl w:val="2C3A32E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AD133E0"/>
    <w:multiLevelType w:val="hybridMultilevel"/>
    <w:tmpl w:val="86FA918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941070"/>
    <w:multiLevelType w:val="hybridMultilevel"/>
    <w:tmpl w:val="B16C12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B74AAF"/>
    <w:multiLevelType w:val="hybridMultilevel"/>
    <w:tmpl w:val="97540A3C"/>
    <w:lvl w:ilvl="0" w:tplc="6CB61F9A">
      <w:numFmt w:val="bullet"/>
      <w:lvlText w:val="·"/>
      <w:lvlJc w:val="left"/>
      <w:pPr>
        <w:ind w:left="720" w:hanging="360"/>
      </w:pPr>
      <w:rPr>
        <w:rFonts w:ascii="Calibri Light" w:eastAsiaTheme="minorHAnsi" w:hAnsi="Calibri Light"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0A54132"/>
    <w:multiLevelType w:val="hybridMultilevel"/>
    <w:tmpl w:val="9F84025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51C0BAB"/>
    <w:multiLevelType w:val="hybridMultilevel"/>
    <w:tmpl w:val="AE4E527A"/>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58B33F4"/>
    <w:multiLevelType w:val="hybridMultilevel"/>
    <w:tmpl w:val="5CF0F25C"/>
    <w:lvl w:ilvl="0" w:tplc="AFE692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25493A"/>
    <w:multiLevelType w:val="hybridMultilevel"/>
    <w:tmpl w:val="E3826D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CFF080F"/>
    <w:multiLevelType w:val="hybridMultilevel"/>
    <w:tmpl w:val="1D4AFA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E681FDB"/>
    <w:multiLevelType w:val="hybridMultilevel"/>
    <w:tmpl w:val="BCB85AA4"/>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3" w15:restartNumberingAfterBreak="0">
    <w:nsid w:val="4F360C68"/>
    <w:multiLevelType w:val="hybridMultilevel"/>
    <w:tmpl w:val="29561E84"/>
    <w:lvl w:ilvl="0" w:tplc="E6085F36">
      <w:numFmt w:val="bullet"/>
      <w:lvlText w:val="·"/>
      <w:lvlJc w:val="left"/>
      <w:pPr>
        <w:ind w:left="720" w:hanging="360"/>
      </w:pPr>
      <w:rPr>
        <w:rFonts w:ascii="Calibri Light" w:eastAsiaTheme="minorHAnsi" w:hAnsi="Calibri Light"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C7377F3"/>
    <w:multiLevelType w:val="hybridMultilevel"/>
    <w:tmpl w:val="CC56B0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D250D47"/>
    <w:multiLevelType w:val="hybridMultilevel"/>
    <w:tmpl w:val="C3B4864E"/>
    <w:lvl w:ilvl="0" w:tplc="9EEA1E24">
      <w:numFmt w:val="bullet"/>
      <w:lvlText w:val="·"/>
      <w:lvlJc w:val="left"/>
      <w:pPr>
        <w:ind w:left="720" w:hanging="360"/>
      </w:pPr>
      <w:rPr>
        <w:rFonts w:ascii="Calibri Light" w:eastAsiaTheme="minorHAnsi" w:hAnsi="Calibri Light"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E06372E"/>
    <w:multiLevelType w:val="multilevel"/>
    <w:tmpl w:val="1AF6AD28"/>
    <w:lvl w:ilvl="0">
      <w:start w:val="1"/>
      <w:numFmt w:val="decimal"/>
      <w:lvlText w:val="%1)"/>
      <w:lvlJc w:val="left"/>
      <w:pPr>
        <w:ind w:left="630" w:hanging="630"/>
      </w:pPr>
      <w:rPr>
        <w:rFonts w:hint="default"/>
      </w:rPr>
    </w:lvl>
    <w:lvl w:ilvl="1">
      <w:start w:val="2"/>
      <w:numFmt w:val="decimal"/>
      <w:lvlText w:val="%1.%2."/>
      <w:lvlJc w:val="left"/>
      <w:pPr>
        <w:ind w:left="810" w:hanging="63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71A04DC7"/>
    <w:multiLevelType w:val="hybridMultilevel"/>
    <w:tmpl w:val="13EEF3C0"/>
    <w:lvl w:ilvl="0" w:tplc="04160011">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2BE377E"/>
    <w:multiLevelType w:val="multilevel"/>
    <w:tmpl w:val="364C672C"/>
    <w:lvl w:ilvl="0">
      <w:start w:val="2"/>
      <w:numFmt w:val="decimal"/>
      <w:lvlText w:val="%1."/>
      <w:lvlJc w:val="left"/>
      <w:pPr>
        <w:ind w:left="630" w:hanging="630"/>
      </w:pPr>
      <w:rPr>
        <w:rFonts w:hint="default"/>
      </w:rPr>
    </w:lvl>
    <w:lvl w:ilvl="1">
      <w:start w:val="2"/>
      <w:numFmt w:val="decimal"/>
      <w:lvlText w:val="%1.%2."/>
      <w:lvlJc w:val="left"/>
      <w:pPr>
        <w:ind w:left="810" w:hanging="63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74454264"/>
    <w:multiLevelType w:val="hybridMultilevel"/>
    <w:tmpl w:val="A3DA615A"/>
    <w:lvl w:ilvl="0" w:tplc="04160011">
      <w:start w:val="1"/>
      <w:numFmt w:val="decimal"/>
      <w:lvlText w:val="%1)"/>
      <w:lvlJc w:val="left"/>
      <w:pPr>
        <w:ind w:left="720" w:hanging="360"/>
      </w:pPr>
    </w:lvl>
    <w:lvl w:ilvl="1" w:tplc="18A86AA4">
      <w:numFmt w:val="bullet"/>
      <w:lvlText w:val="·"/>
      <w:lvlJc w:val="left"/>
      <w:pPr>
        <w:ind w:left="1440" w:hanging="360"/>
      </w:pPr>
      <w:rPr>
        <w:rFonts w:ascii="Calibri Light" w:eastAsiaTheme="minorHAnsi" w:hAnsi="Calibri Light" w:cs="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135587"/>
    <w:multiLevelType w:val="multilevel"/>
    <w:tmpl w:val="A79C8C3E"/>
    <w:lvl w:ilvl="0">
      <w:start w:val="2"/>
      <w:numFmt w:val="decimal"/>
      <w:lvlText w:val="%1."/>
      <w:lvlJc w:val="left"/>
      <w:pPr>
        <w:ind w:left="630" w:hanging="630"/>
      </w:pPr>
      <w:rPr>
        <w:rFonts w:hint="default"/>
      </w:rPr>
    </w:lvl>
    <w:lvl w:ilvl="1">
      <w:start w:val="2"/>
      <w:numFmt w:val="decimal"/>
      <w:lvlText w:val="%1.%2."/>
      <w:lvlJc w:val="left"/>
      <w:pPr>
        <w:ind w:left="810" w:hanging="63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7CB33286"/>
    <w:multiLevelType w:val="hybridMultilevel"/>
    <w:tmpl w:val="82128EE0"/>
    <w:lvl w:ilvl="0" w:tplc="0BE24E9E">
      <w:start w:val="6"/>
      <w:numFmt w:val="bullet"/>
      <w:lvlText w:val=""/>
      <w:lvlJc w:val="left"/>
      <w:pPr>
        <w:ind w:left="720" w:hanging="360"/>
      </w:pPr>
      <w:rPr>
        <w:rFonts w:ascii="Symbol" w:eastAsiaTheme="minorHAnsi" w:hAnsi="Symbol" w:cs="Tahoma,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
  </w:num>
  <w:num w:numId="4">
    <w:abstractNumId w:val="3"/>
  </w:num>
  <w:num w:numId="5">
    <w:abstractNumId w:val="9"/>
  </w:num>
  <w:num w:numId="6">
    <w:abstractNumId w:val="16"/>
  </w:num>
  <w:num w:numId="7">
    <w:abstractNumId w:val="8"/>
  </w:num>
  <w:num w:numId="8">
    <w:abstractNumId w:val="23"/>
  </w:num>
  <w:num w:numId="9">
    <w:abstractNumId w:val="29"/>
  </w:num>
  <w:num w:numId="10">
    <w:abstractNumId w:val="25"/>
  </w:num>
  <w:num w:numId="11">
    <w:abstractNumId w:val="13"/>
  </w:num>
  <w:num w:numId="12">
    <w:abstractNumId w:val="5"/>
  </w:num>
  <w:num w:numId="13">
    <w:abstractNumId w:val="7"/>
  </w:num>
  <w:num w:numId="14">
    <w:abstractNumId w:val="17"/>
  </w:num>
  <w:num w:numId="15">
    <w:abstractNumId w:val="18"/>
  </w:num>
  <w:num w:numId="16">
    <w:abstractNumId w:val="6"/>
  </w:num>
  <w:num w:numId="17">
    <w:abstractNumId w:val="11"/>
  </w:num>
  <w:num w:numId="18">
    <w:abstractNumId w:val="4"/>
  </w:num>
  <w:num w:numId="19">
    <w:abstractNumId w:val="10"/>
  </w:num>
  <w:num w:numId="20">
    <w:abstractNumId w:val="14"/>
  </w:num>
  <w:num w:numId="21">
    <w:abstractNumId w:val="2"/>
  </w:num>
  <w:num w:numId="22">
    <w:abstractNumId w:val="22"/>
  </w:num>
  <w:num w:numId="23">
    <w:abstractNumId w:val="28"/>
  </w:num>
  <w:num w:numId="24">
    <w:abstractNumId w:val="30"/>
  </w:num>
  <w:num w:numId="25">
    <w:abstractNumId w:val="19"/>
  </w:num>
  <w:num w:numId="26">
    <w:abstractNumId w:val="27"/>
  </w:num>
  <w:num w:numId="27">
    <w:abstractNumId w:val="26"/>
  </w:num>
  <w:num w:numId="28">
    <w:abstractNumId w:val="31"/>
  </w:num>
  <w:num w:numId="29">
    <w:abstractNumId w:val="15"/>
  </w:num>
  <w:num w:numId="30">
    <w:abstractNumId w:val="21"/>
  </w:num>
  <w:num w:numId="31">
    <w:abstractNumId w:val="20"/>
  </w:num>
  <w:num w:numId="3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BD"/>
    <w:rsid w:val="00020C6F"/>
    <w:rsid w:val="00022F8F"/>
    <w:rsid w:val="00026D9E"/>
    <w:rsid w:val="00027BC8"/>
    <w:rsid w:val="00027D18"/>
    <w:rsid w:val="00027E45"/>
    <w:rsid w:val="00036527"/>
    <w:rsid w:val="0004258D"/>
    <w:rsid w:val="00046798"/>
    <w:rsid w:val="00050A91"/>
    <w:rsid w:val="00060984"/>
    <w:rsid w:val="00060E90"/>
    <w:rsid w:val="0006581C"/>
    <w:rsid w:val="0007165B"/>
    <w:rsid w:val="00074E90"/>
    <w:rsid w:val="00074EE1"/>
    <w:rsid w:val="00077CF2"/>
    <w:rsid w:val="00080BC0"/>
    <w:rsid w:val="00090EFF"/>
    <w:rsid w:val="00095755"/>
    <w:rsid w:val="000A15CA"/>
    <w:rsid w:val="000A3245"/>
    <w:rsid w:val="000A4079"/>
    <w:rsid w:val="000C0E35"/>
    <w:rsid w:val="000C10F9"/>
    <w:rsid w:val="000C1C0B"/>
    <w:rsid w:val="000C2140"/>
    <w:rsid w:val="000C5504"/>
    <w:rsid w:val="000D3427"/>
    <w:rsid w:val="000E5582"/>
    <w:rsid w:val="000E7977"/>
    <w:rsid w:val="000F2A60"/>
    <w:rsid w:val="000F5C63"/>
    <w:rsid w:val="00104960"/>
    <w:rsid w:val="00107D35"/>
    <w:rsid w:val="001158EA"/>
    <w:rsid w:val="00130AAA"/>
    <w:rsid w:val="00133BB4"/>
    <w:rsid w:val="0014059A"/>
    <w:rsid w:val="00140E4C"/>
    <w:rsid w:val="0015384C"/>
    <w:rsid w:val="00157287"/>
    <w:rsid w:val="00173AE5"/>
    <w:rsid w:val="0019335E"/>
    <w:rsid w:val="00195A42"/>
    <w:rsid w:val="001A0AFE"/>
    <w:rsid w:val="001A268B"/>
    <w:rsid w:val="001A2775"/>
    <w:rsid w:val="001F0D4D"/>
    <w:rsid w:val="00204FFC"/>
    <w:rsid w:val="00206660"/>
    <w:rsid w:val="00207F4E"/>
    <w:rsid w:val="002227C0"/>
    <w:rsid w:val="00234FCD"/>
    <w:rsid w:val="00240DCF"/>
    <w:rsid w:val="0024157C"/>
    <w:rsid w:val="00242E59"/>
    <w:rsid w:val="002437D4"/>
    <w:rsid w:val="00245062"/>
    <w:rsid w:val="002632E5"/>
    <w:rsid w:val="0026568E"/>
    <w:rsid w:val="0026681C"/>
    <w:rsid w:val="00267177"/>
    <w:rsid w:val="00272A05"/>
    <w:rsid w:val="00274DC9"/>
    <w:rsid w:val="00282C48"/>
    <w:rsid w:val="0029279D"/>
    <w:rsid w:val="002967C8"/>
    <w:rsid w:val="002A18AD"/>
    <w:rsid w:val="002A7F37"/>
    <w:rsid w:val="002C1613"/>
    <w:rsid w:val="002C1ABB"/>
    <w:rsid w:val="002E1EF2"/>
    <w:rsid w:val="002E30BD"/>
    <w:rsid w:val="002F7403"/>
    <w:rsid w:val="003006C8"/>
    <w:rsid w:val="0032248B"/>
    <w:rsid w:val="00324BC2"/>
    <w:rsid w:val="00333333"/>
    <w:rsid w:val="003345AA"/>
    <w:rsid w:val="003471CC"/>
    <w:rsid w:val="00360225"/>
    <w:rsid w:val="003624C9"/>
    <w:rsid w:val="003632FC"/>
    <w:rsid w:val="00371588"/>
    <w:rsid w:val="00374DA1"/>
    <w:rsid w:val="003811A6"/>
    <w:rsid w:val="00382D5A"/>
    <w:rsid w:val="00393B78"/>
    <w:rsid w:val="003957DA"/>
    <w:rsid w:val="00396781"/>
    <w:rsid w:val="003972F3"/>
    <w:rsid w:val="003A06EB"/>
    <w:rsid w:val="003A0C4B"/>
    <w:rsid w:val="003A4943"/>
    <w:rsid w:val="003A5D4E"/>
    <w:rsid w:val="003B0392"/>
    <w:rsid w:val="003B446C"/>
    <w:rsid w:val="003C7036"/>
    <w:rsid w:val="00402AA0"/>
    <w:rsid w:val="00411B84"/>
    <w:rsid w:val="004135CD"/>
    <w:rsid w:val="0041376F"/>
    <w:rsid w:val="00414E7F"/>
    <w:rsid w:val="004215C7"/>
    <w:rsid w:val="0042218E"/>
    <w:rsid w:val="004234F1"/>
    <w:rsid w:val="00431B87"/>
    <w:rsid w:val="00437D8C"/>
    <w:rsid w:val="00440E72"/>
    <w:rsid w:val="00441FA5"/>
    <w:rsid w:val="004714BB"/>
    <w:rsid w:val="00477EE9"/>
    <w:rsid w:val="00477FA0"/>
    <w:rsid w:val="004824C4"/>
    <w:rsid w:val="004B088E"/>
    <w:rsid w:val="004B1122"/>
    <w:rsid w:val="004C0CBC"/>
    <w:rsid w:val="004E729A"/>
    <w:rsid w:val="004F46CC"/>
    <w:rsid w:val="004F4DCB"/>
    <w:rsid w:val="00504042"/>
    <w:rsid w:val="00504D8D"/>
    <w:rsid w:val="0050602A"/>
    <w:rsid w:val="005075DB"/>
    <w:rsid w:val="005108C1"/>
    <w:rsid w:val="00511189"/>
    <w:rsid w:val="00515D17"/>
    <w:rsid w:val="00517043"/>
    <w:rsid w:val="00517164"/>
    <w:rsid w:val="0054095E"/>
    <w:rsid w:val="005473B4"/>
    <w:rsid w:val="005621EB"/>
    <w:rsid w:val="00562399"/>
    <w:rsid w:val="005702FC"/>
    <w:rsid w:val="00570E56"/>
    <w:rsid w:val="00573802"/>
    <w:rsid w:val="00573850"/>
    <w:rsid w:val="00576362"/>
    <w:rsid w:val="005816AA"/>
    <w:rsid w:val="00587F57"/>
    <w:rsid w:val="00594FAB"/>
    <w:rsid w:val="005959A4"/>
    <w:rsid w:val="005A15EE"/>
    <w:rsid w:val="005A34B9"/>
    <w:rsid w:val="005B07D9"/>
    <w:rsid w:val="005B40D0"/>
    <w:rsid w:val="005B4F5A"/>
    <w:rsid w:val="005C742E"/>
    <w:rsid w:val="005D0442"/>
    <w:rsid w:val="005D32FA"/>
    <w:rsid w:val="005D55DD"/>
    <w:rsid w:val="005F1656"/>
    <w:rsid w:val="005F6573"/>
    <w:rsid w:val="00603869"/>
    <w:rsid w:val="006045EF"/>
    <w:rsid w:val="006107E4"/>
    <w:rsid w:val="00611C8B"/>
    <w:rsid w:val="00622CA6"/>
    <w:rsid w:val="00623FD7"/>
    <w:rsid w:val="00626D18"/>
    <w:rsid w:val="006301FD"/>
    <w:rsid w:val="006366C1"/>
    <w:rsid w:val="00640172"/>
    <w:rsid w:val="00641BC9"/>
    <w:rsid w:val="0065186E"/>
    <w:rsid w:val="00652D48"/>
    <w:rsid w:val="00653669"/>
    <w:rsid w:val="00655D33"/>
    <w:rsid w:val="00664052"/>
    <w:rsid w:val="006640A3"/>
    <w:rsid w:val="0066769E"/>
    <w:rsid w:val="0067298F"/>
    <w:rsid w:val="00673D6A"/>
    <w:rsid w:val="00677D00"/>
    <w:rsid w:val="00680856"/>
    <w:rsid w:val="00684C88"/>
    <w:rsid w:val="006861B7"/>
    <w:rsid w:val="00695CB3"/>
    <w:rsid w:val="00696804"/>
    <w:rsid w:val="00697BA3"/>
    <w:rsid w:val="006A59F9"/>
    <w:rsid w:val="006C60E0"/>
    <w:rsid w:val="006C6AA5"/>
    <w:rsid w:val="006C6C52"/>
    <w:rsid w:val="006D109E"/>
    <w:rsid w:val="006E1B1C"/>
    <w:rsid w:val="006F5F57"/>
    <w:rsid w:val="00704DA6"/>
    <w:rsid w:val="00711AD9"/>
    <w:rsid w:val="007243CC"/>
    <w:rsid w:val="00725AEF"/>
    <w:rsid w:val="00726309"/>
    <w:rsid w:val="00731635"/>
    <w:rsid w:val="00744E52"/>
    <w:rsid w:val="00755D0F"/>
    <w:rsid w:val="00757A82"/>
    <w:rsid w:val="007636F5"/>
    <w:rsid w:val="00763FE2"/>
    <w:rsid w:val="00766F73"/>
    <w:rsid w:val="007703B6"/>
    <w:rsid w:val="00773099"/>
    <w:rsid w:val="007760C0"/>
    <w:rsid w:val="00776AED"/>
    <w:rsid w:val="00780A18"/>
    <w:rsid w:val="00783141"/>
    <w:rsid w:val="00795539"/>
    <w:rsid w:val="00795FC5"/>
    <w:rsid w:val="007A0379"/>
    <w:rsid w:val="007A116B"/>
    <w:rsid w:val="007A30E9"/>
    <w:rsid w:val="007B1340"/>
    <w:rsid w:val="007B3FAD"/>
    <w:rsid w:val="007B5FDC"/>
    <w:rsid w:val="007C1243"/>
    <w:rsid w:val="007C3DED"/>
    <w:rsid w:val="007C480B"/>
    <w:rsid w:val="007D4259"/>
    <w:rsid w:val="007E179A"/>
    <w:rsid w:val="00800423"/>
    <w:rsid w:val="00803157"/>
    <w:rsid w:val="008064A1"/>
    <w:rsid w:val="00813C50"/>
    <w:rsid w:val="00820056"/>
    <w:rsid w:val="00820392"/>
    <w:rsid w:val="00831E43"/>
    <w:rsid w:val="00836D91"/>
    <w:rsid w:val="00846169"/>
    <w:rsid w:val="00851B36"/>
    <w:rsid w:val="008538D1"/>
    <w:rsid w:val="008613D8"/>
    <w:rsid w:val="0086734E"/>
    <w:rsid w:val="00875DF1"/>
    <w:rsid w:val="00882F1C"/>
    <w:rsid w:val="008854AC"/>
    <w:rsid w:val="00887FA0"/>
    <w:rsid w:val="008907C4"/>
    <w:rsid w:val="00892CD4"/>
    <w:rsid w:val="008A30FF"/>
    <w:rsid w:val="008B14D3"/>
    <w:rsid w:val="008C34BD"/>
    <w:rsid w:val="008C45B8"/>
    <w:rsid w:val="008D082C"/>
    <w:rsid w:val="008D0D0C"/>
    <w:rsid w:val="008D35B5"/>
    <w:rsid w:val="008F2189"/>
    <w:rsid w:val="008F4AA7"/>
    <w:rsid w:val="00902655"/>
    <w:rsid w:val="00905B50"/>
    <w:rsid w:val="00905E63"/>
    <w:rsid w:val="00910783"/>
    <w:rsid w:val="009313DE"/>
    <w:rsid w:val="00931E06"/>
    <w:rsid w:val="009354B8"/>
    <w:rsid w:val="00952C6D"/>
    <w:rsid w:val="00953F4F"/>
    <w:rsid w:val="009546BE"/>
    <w:rsid w:val="00954AF3"/>
    <w:rsid w:val="00955791"/>
    <w:rsid w:val="00962A00"/>
    <w:rsid w:val="00962E80"/>
    <w:rsid w:val="00975E3B"/>
    <w:rsid w:val="00977A01"/>
    <w:rsid w:val="009809B7"/>
    <w:rsid w:val="009812FA"/>
    <w:rsid w:val="00982740"/>
    <w:rsid w:val="009832A0"/>
    <w:rsid w:val="00983694"/>
    <w:rsid w:val="00983C28"/>
    <w:rsid w:val="00990334"/>
    <w:rsid w:val="009A0E6D"/>
    <w:rsid w:val="009A5A3C"/>
    <w:rsid w:val="009B5DD5"/>
    <w:rsid w:val="009C1CC1"/>
    <w:rsid w:val="009C4E9A"/>
    <w:rsid w:val="009C7947"/>
    <w:rsid w:val="009E5ECB"/>
    <w:rsid w:val="00A071F4"/>
    <w:rsid w:val="00A165C5"/>
    <w:rsid w:val="00A17A7B"/>
    <w:rsid w:val="00A202FD"/>
    <w:rsid w:val="00A263FA"/>
    <w:rsid w:val="00A27502"/>
    <w:rsid w:val="00A401C4"/>
    <w:rsid w:val="00A635E7"/>
    <w:rsid w:val="00A71393"/>
    <w:rsid w:val="00A73676"/>
    <w:rsid w:val="00A75D28"/>
    <w:rsid w:val="00A77857"/>
    <w:rsid w:val="00A81355"/>
    <w:rsid w:val="00A82266"/>
    <w:rsid w:val="00A85466"/>
    <w:rsid w:val="00A92580"/>
    <w:rsid w:val="00AB328B"/>
    <w:rsid w:val="00AB59DC"/>
    <w:rsid w:val="00AB709E"/>
    <w:rsid w:val="00AB718C"/>
    <w:rsid w:val="00AC3228"/>
    <w:rsid w:val="00AC3924"/>
    <w:rsid w:val="00AC4187"/>
    <w:rsid w:val="00AD16B2"/>
    <w:rsid w:val="00AD3C8A"/>
    <w:rsid w:val="00AD6E46"/>
    <w:rsid w:val="00AE20D6"/>
    <w:rsid w:val="00AE27CF"/>
    <w:rsid w:val="00AE67F5"/>
    <w:rsid w:val="00AE7F23"/>
    <w:rsid w:val="00B011A2"/>
    <w:rsid w:val="00B20B3A"/>
    <w:rsid w:val="00B267E9"/>
    <w:rsid w:val="00B37D5B"/>
    <w:rsid w:val="00B41BCB"/>
    <w:rsid w:val="00B4369B"/>
    <w:rsid w:val="00B55E91"/>
    <w:rsid w:val="00B630BA"/>
    <w:rsid w:val="00B66D71"/>
    <w:rsid w:val="00B720EC"/>
    <w:rsid w:val="00B7300A"/>
    <w:rsid w:val="00B75DF5"/>
    <w:rsid w:val="00B77EBB"/>
    <w:rsid w:val="00B81360"/>
    <w:rsid w:val="00B822E2"/>
    <w:rsid w:val="00B97AA5"/>
    <w:rsid w:val="00BA1E3A"/>
    <w:rsid w:val="00BB20FE"/>
    <w:rsid w:val="00BC1915"/>
    <w:rsid w:val="00BD4F5E"/>
    <w:rsid w:val="00BD5DA9"/>
    <w:rsid w:val="00BE031E"/>
    <w:rsid w:val="00BE4BBE"/>
    <w:rsid w:val="00BF148B"/>
    <w:rsid w:val="00C066C5"/>
    <w:rsid w:val="00C109FB"/>
    <w:rsid w:val="00C11777"/>
    <w:rsid w:val="00C30583"/>
    <w:rsid w:val="00C337B2"/>
    <w:rsid w:val="00C45DB7"/>
    <w:rsid w:val="00C61F6D"/>
    <w:rsid w:val="00C627AF"/>
    <w:rsid w:val="00C73263"/>
    <w:rsid w:val="00C874F2"/>
    <w:rsid w:val="00CA714F"/>
    <w:rsid w:val="00CB68C8"/>
    <w:rsid w:val="00CC409E"/>
    <w:rsid w:val="00CC56CD"/>
    <w:rsid w:val="00CD2A4A"/>
    <w:rsid w:val="00CD339C"/>
    <w:rsid w:val="00CD3737"/>
    <w:rsid w:val="00CD4EDE"/>
    <w:rsid w:val="00CE6A38"/>
    <w:rsid w:val="00CE75BF"/>
    <w:rsid w:val="00CE7A1C"/>
    <w:rsid w:val="00D03D76"/>
    <w:rsid w:val="00D0692F"/>
    <w:rsid w:val="00D17915"/>
    <w:rsid w:val="00D17BF0"/>
    <w:rsid w:val="00D17EE2"/>
    <w:rsid w:val="00D26904"/>
    <w:rsid w:val="00D309DD"/>
    <w:rsid w:val="00D323BA"/>
    <w:rsid w:val="00D32A54"/>
    <w:rsid w:val="00D4714A"/>
    <w:rsid w:val="00D536B5"/>
    <w:rsid w:val="00D57C20"/>
    <w:rsid w:val="00D7189F"/>
    <w:rsid w:val="00D74DA1"/>
    <w:rsid w:val="00DA22F1"/>
    <w:rsid w:val="00DA5770"/>
    <w:rsid w:val="00DB707B"/>
    <w:rsid w:val="00DD6B7F"/>
    <w:rsid w:val="00DE3346"/>
    <w:rsid w:val="00DE46C7"/>
    <w:rsid w:val="00DE6447"/>
    <w:rsid w:val="00DE7726"/>
    <w:rsid w:val="00DF23A8"/>
    <w:rsid w:val="00DF7D3D"/>
    <w:rsid w:val="00E009DF"/>
    <w:rsid w:val="00E20E2A"/>
    <w:rsid w:val="00E21609"/>
    <w:rsid w:val="00E2294C"/>
    <w:rsid w:val="00E30264"/>
    <w:rsid w:val="00E30E1F"/>
    <w:rsid w:val="00E3542D"/>
    <w:rsid w:val="00E35CDB"/>
    <w:rsid w:val="00E438E3"/>
    <w:rsid w:val="00E4524E"/>
    <w:rsid w:val="00E64B8F"/>
    <w:rsid w:val="00E665EB"/>
    <w:rsid w:val="00E70A9B"/>
    <w:rsid w:val="00E91BF9"/>
    <w:rsid w:val="00E95A59"/>
    <w:rsid w:val="00EA744B"/>
    <w:rsid w:val="00EA78EB"/>
    <w:rsid w:val="00EC7B06"/>
    <w:rsid w:val="00ED02CC"/>
    <w:rsid w:val="00ED3719"/>
    <w:rsid w:val="00EE495D"/>
    <w:rsid w:val="00EE6E60"/>
    <w:rsid w:val="00EF5C45"/>
    <w:rsid w:val="00EF6C61"/>
    <w:rsid w:val="00F00E1D"/>
    <w:rsid w:val="00F11B48"/>
    <w:rsid w:val="00F12E75"/>
    <w:rsid w:val="00F2341E"/>
    <w:rsid w:val="00F4171A"/>
    <w:rsid w:val="00F4489D"/>
    <w:rsid w:val="00F559C6"/>
    <w:rsid w:val="00F56BE5"/>
    <w:rsid w:val="00F56E51"/>
    <w:rsid w:val="00F63FBD"/>
    <w:rsid w:val="00F6521C"/>
    <w:rsid w:val="00F65273"/>
    <w:rsid w:val="00F66EB8"/>
    <w:rsid w:val="00F723D3"/>
    <w:rsid w:val="00F767B9"/>
    <w:rsid w:val="00F770DE"/>
    <w:rsid w:val="00F87787"/>
    <w:rsid w:val="00F9407C"/>
    <w:rsid w:val="00F9466A"/>
    <w:rsid w:val="00FB00A9"/>
    <w:rsid w:val="00FC1FC0"/>
    <w:rsid w:val="00FD1BC6"/>
    <w:rsid w:val="00FD3437"/>
    <w:rsid w:val="00FE6AE9"/>
    <w:rsid w:val="00FF54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70FE"/>
  <w15:docId w15:val="{D3572E58-9030-4465-8BBA-884C55C1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079"/>
  </w:style>
  <w:style w:type="paragraph" w:styleId="Ttulo1">
    <w:name w:val="heading 1"/>
    <w:basedOn w:val="Normal"/>
    <w:next w:val="Normal"/>
    <w:link w:val="Ttulo1Char"/>
    <w:uiPriority w:val="9"/>
    <w:qFormat/>
    <w:rsid w:val="00611C8B"/>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11C8B"/>
    <w:rPr>
      <w:rFonts w:asciiTheme="majorHAnsi" w:eastAsiaTheme="majorEastAsia" w:hAnsiTheme="majorHAnsi" w:cstheme="majorBidi"/>
      <w:color w:val="365F91" w:themeColor="accent1" w:themeShade="BF"/>
      <w:sz w:val="32"/>
      <w:szCs w:val="32"/>
      <w:lang w:eastAsia="en-US"/>
    </w:rPr>
  </w:style>
  <w:style w:type="paragraph" w:styleId="PargrafodaLista">
    <w:name w:val="List Paragraph"/>
    <w:basedOn w:val="Normal"/>
    <w:uiPriority w:val="34"/>
    <w:qFormat/>
    <w:rsid w:val="00AB59DC"/>
    <w:pPr>
      <w:ind w:left="720"/>
      <w:contextualSpacing/>
    </w:pPr>
  </w:style>
  <w:style w:type="table" w:styleId="Tabelacomgrade">
    <w:name w:val="Table Grid"/>
    <w:basedOn w:val="Tabelanormal"/>
    <w:uiPriority w:val="59"/>
    <w:rsid w:val="00F448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rsid w:val="000F5C63"/>
    <w:rPr>
      <w:color w:val="0000FF"/>
      <w:u w:val="single"/>
    </w:rPr>
  </w:style>
  <w:style w:type="paragraph" w:customStyle="1" w:styleId="Default">
    <w:name w:val="Default"/>
    <w:rsid w:val="00704DA6"/>
    <w:pPr>
      <w:autoSpaceDE w:val="0"/>
      <w:autoSpaceDN w:val="0"/>
      <w:adjustRightInd w:val="0"/>
      <w:spacing w:after="0" w:line="240" w:lineRule="auto"/>
    </w:pPr>
    <w:rPr>
      <w:rFonts w:ascii="Constantia" w:eastAsia="Times New Roman" w:hAnsi="Constantia" w:cs="Constantia"/>
      <w:color w:val="000000"/>
      <w:sz w:val="24"/>
      <w:szCs w:val="24"/>
    </w:rPr>
  </w:style>
  <w:style w:type="paragraph" w:styleId="Textodebalo">
    <w:name w:val="Balloon Text"/>
    <w:basedOn w:val="Normal"/>
    <w:link w:val="TextodebaloChar"/>
    <w:uiPriority w:val="99"/>
    <w:semiHidden/>
    <w:unhideWhenUsed/>
    <w:rsid w:val="004714B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714BB"/>
    <w:rPr>
      <w:rFonts w:ascii="Segoe UI" w:hAnsi="Segoe UI" w:cs="Segoe UI"/>
      <w:sz w:val="18"/>
      <w:szCs w:val="18"/>
    </w:rPr>
  </w:style>
  <w:style w:type="paragraph" w:styleId="Corpodetexto">
    <w:name w:val="Body Text"/>
    <w:basedOn w:val="Normal"/>
    <w:link w:val="CorpodetextoChar"/>
    <w:uiPriority w:val="99"/>
    <w:semiHidden/>
    <w:unhideWhenUsed/>
    <w:rsid w:val="00DD6B7F"/>
    <w:pPr>
      <w:spacing w:after="120"/>
    </w:pPr>
  </w:style>
  <w:style w:type="character" w:customStyle="1" w:styleId="CorpodetextoChar">
    <w:name w:val="Corpo de texto Char"/>
    <w:basedOn w:val="Fontepargpadro"/>
    <w:link w:val="Corpodetexto"/>
    <w:uiPriority w:val="99"/>
    <w:semiHidden/>
    <w:rsid w:val="00DD6B7F"/>
  </w:style>
  <w:style w:type="character" w:customStyle="1" w:styleId="TextodenotadefimChar">
    <w:name w:val="Texto de nota de fim Char"/>
    <w:basedOn w:val="Fontepargpadro"/>
    <w:link w:val="Textodenotadefim"/>
    <w:uiPriority w:val="99"/>
    <w:semiHidden/>
    <w:rsid w:val="00611C8B"/>
    <w:rPr>
      <w:rFonts w:eastAsiaTheme="minorHAnsi"/>
      <w:sz w:val="20"/>
      <w:szCs w:val="20"/>
      <w:lang w:eastAsia="en-US"/>
    </w:rPr>
  </w:style>
  <w:style w:type="paragraph" w:styleId="Textodenotadefim">
    <w:name w:val="endnote text"/>
    <w:basedOn w:val="Normal"/>
    <w:link w:val="TextodenotadefimChar"/>
    <w:uiPriority w:val="99"/>
    <w:semiHidden/>
    <w:unhideWhenUsed/>
    <w:rsid w:val="00611C8B"/>
    <w:pPr>
      <w:spacing w:after="0" w:line="240" w:lineRule="auto"/>
    </w:pPr>
    <w:rPr>
      <w:rFonts w:eastAsiaTheme="minorHAnsi"/>
      <w:sz w:val="20"/>
      <w:szCs w:val="20"/>
      <w:lang w:eastAsia="en-US"/>
    </w:rPr>
  </w:style>
  <w:style w:type="paragraph" w:styleId="Textodenotaderodap">
    <w:name w:val="footnote text"/>
    <w:basedOn w:val="Normal"/>
    <w:link w:val="TextodenotaderodapChar"/>
    <w:uiPriority w:val="99"/>
    <w:semiHidden/>
    <w:unhideWhenUsed/>
    <w:rsid w:val="00611C8B"/>
    <w:pPr>
      <w:spacing w:after="0" w:line="240" w:lineRule="auto"/>
    </w:pPr>
    <w:rPr>
      <w:rFonts w:eastAsiaTheme="minorHAnsi"/>
      <w:sz w:val="20"/>
      <w:szCs w:val="20"/>
      <w:lang w:eastAsia="en-US"/>
    </w:rPr>
  </w:style>
  <w:style w:type="character" w:customStyle="1" w:styleId="TextodenotaderodapChar">
    <w:name w:val="Texto de nota de rodapé Char"/>
    <w:basedOn w:val="Fontepargpadro"/>
    <w:link w:val="Textodenotaderodap"/>
    <w:uiPriority w:val="99"/>
    <w:semiHidden/>
    <w:rsid w:val="00611C8B"/>
    <w:rPr>
      <w:rFonts w:eastAsiaTheme="minorHAnsi"/>
      <w:sz w:val="20"/>
      <w:szCs w:val="20"/>
      <w:lang w:eastAsia="en-US"/>
    </w:rPr>
  </w:style>
  <w:style w:type="character" w:styleId="Refdenotaderodap">
    <w:name w:val="footnote reference"/>
    <w:basedOn w:val="Fontepargpadro"/>
    <w:uiPriority w:val="99"/>
    <w:semiHidden/>
    <w:unhideWhenUsed/>
    <w:rsid w:val="00611C8B"/>
    <w:rPr>
      <w:vertAlign w:val="superscript"/>
    </w:rPr>
  </w:style>
  <w:style w:type="paragraph" w:styleId="SemEspaamento">
    <w:name w:val="No Spacing"/>
    <w:uiPriority w:val="1"/>
    <w:qFormat/>
    <w:rsid w:val="00611C8B"/>
    <w:pPr>
      <w:spacing w:before="120" w:after="120" w:line="360" w:lineRule="auto"/>
      <w:jc w:val="both"/>
    </w:pPr>
    <w:rPr>
      <w:rFonts w:ascii="Calibri" w:eastAsiaTheme="minorHAnsi" w:hAnsi="Calibri"/>
      <w:szCs w:val="24"/>
      <w:lang w:eastAsia="en-US"/>
    </w:rPr>
  </w:style>
  <w:style w:type="paragraph" w:styleId="Cabealho">
    <w:name w:val="header"/>
    <w:basedOn w:val="Normal"/>
    <w:link w:val="CabealhoChar"/>
    <w:uiPriority w:val="99"/>
    <w:unhideWhenUsed/>
    <w:rsid w:val="00611C8B"/>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611C8B"/>
    <w:rPr>
      <w:rFonts w:eastAsiaTheme="minorHAnsi"/>
      <w:lang w:eastAsia="en-US"/>
    </w:rPr>
  </w:style>
  <w:style w:type="paragraph" w:styleId="Rodap">
    <w:name w:val="footer"/>
    <w:basedOn w:val="Normal"/>
    <w:link w:val="RodapChar"/>
    <w:uiPriority w:val="99"/>
    <w:unhideWhenUsed/>
    <w:rsid w:val="00611C8B"/>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611C8B"/>
    <w:rPr>
      <w:rFonts w:eastAsiaTheme="minorHAnsi"/>
      <w:lang w:eastAsia="en-US"/>
    </w:rPr>
  </w:style>
  <w:style w:type="numbering" w:customStyle="1" w:styleId="Semlista1">
    <w:name w:val="Sem lista1"/>
    <w:next w:val="Semlista"/>
    <w:uiPriority w:val="99"/>
    <w:semiHidden/>
    <w:unhideWhenUsed/>
    <w:rsid w:val="005B4F5A"/>
  </w:style>
  <w:style w:type="character" w:styleId="Refdenotadefim">
    <w:name w:val="endnote reference"/>
    <w:basedOn w:val="Fontepargpadro"/>
    <w:uiPriority w:val="99"/>
    <w:semiHidden/>
    <w:unhideWhenUsed/>
    <w:rsid w:val="005B4F5A"/>
    <w:rPr>
      <w:vertAlign w:val="superscript"/>
    </w:rPr>
  </w:style>
  <w:style w:type="table" w:customStyle="1" w:styleId="Tabelacomgrade1">
    <w:name w:val="Tabela com grade1"/>
    <w:basedOn w:val="Tabelanormal"/>
    <w:next w:val="Tabelacomgrade"/>
    <w:uiPriority w:val="59"/>
    <w:rsid w:val="005B4F5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6912">
      <w:bodyDiv w:val="1"/>
      <w:marLeft w:val="0"/>
      <w:marRight w:val="0"/>
      <w:marTop w:val="0"/>
      <w:marBottom w:val="0"/>
      <w:divBdr>
        <w:top w:val="none" w:sz="0" w:space="0" w:color="auto"/>
        <w:left w:val="none" w:sz="0" w:space="0" w:color="auto"/>
        <w:bottom w:val="none" w:sz="0" w:space="0" w:color="auto"/>
        <w:right w:val="none" w:sz="0" w:space="0" w:color="auto"/>
      </w:divBdr>
    </w:div>
    <w:div w:id="345442523">
      <w:bodyDiv w:val="1"/>
      <w:marLeft w:val="0"/>
      <w:marRight w:val="0"/>
      <w:marTop w:val="0"/>
      <w:marBottom w:val="0"/>
      <w:divBdr>
        <w:top w:val="none" w:sz="0" w:space="0" w:color="auto"/>
        <w:left w:val="none" w:sz="0" w:space="0" w:color="auto"/>
        <w:bottom w:val="none" w:sz="0" w:space="0" w:color="auto"/>
        <w:right w:val="none" w:sz="0" w:space="0" w:color="auto"/>
      </w:divBdr>
    </w:div>
    <w:div w:id="655956455">
      <w:bodyDiv w:val="1"/>
      <w:marLeft w:val="0"/>
      <w:marRight w:val="0"/>
      <w:marTop w:val="0"/>
      <w:marBottom w:val="0"/>
      <w:divBdr>
        <w:top w:val="none" w:sz="0" w:space="0" w:color="auto"/>
        <w:left w:val="none" w:sz="0" w:space="0" w:color="auto"/>
        <w:bottom w:val="none" w:sz="0" w:space="0" w:color="auto"/>
        <w:right w:val="none" w:sz="0" w:space="0" w:color="auto"/>
      </w:divBdr>
    </w:div>
    <w:div w:id="1599634126">
      <w:bodyDiv w:val="1"/>
      <w:marLeft w:val="0"/>
      <w:marRight w:val="0"/>
      <w:marTop w:val="0"/>
      <w:marBottom w:val="0"/>
      <w:divBdr>
        <w:top w:val="none" w:sz="0" w:space="0" w:color="auto"/>
        <w:left w:val="none" w:sz="0" w:space="0" w:color="auto"/>
        <w:bottom w:val="none" w:sz="0" w:space="0" w:color="auto"/>
        <w:right w:val="none" w:sz="0" w:space="0" w:color="auto"/>
      </w:divBdr>
    </w:div>
    <w:div w:id="1747724136">
      <w:bodyDiv w:val="1"/>
      <w:marLeft w:val="0"/>
      <w:marRight w:val="0"/>
      <w:marTop w:val="0"/>
      <w:marBottom w:val="0"/>
      <w:divBdr>
        <w:top w:val="none" w:sz="0" w:space="0" w:color="auto"/>
        <w:left w:val="none" w:sz="0" w:space="0" w:color="auto"/>
        <w:bottom w:val="none" w:sz="0" w:space="0" w:color="auto"/>
        <w:right w:val="none" w:sz="0" w:space="0" w:color="auto"/>
      </w:divBdr>
    </w:div>
    <w:div w:id="1973710162">
      <w:bodyDiv w:val="1"/>
      <w:marLeft w:val="0"/>
      <w:marRight w:val="0"/>
      <w:marTop w:val="0"/>
      <w:marBottom w:val="0"/>
      <w:divBdr>
        <w:top w:val="none" w:sz="0" w:space="0" w:color="auto"/>
        <w:left w:val="none" w:sz="0" w:space="0" w:color="auto"/>
        <w:bottom w:val="none" w:sz="0" w:space="0" w:color="auto"/>
        <w:right w:val="none" w:sz="0" w:space="0" w:color="auto"/>
      </w:divBdr>
    </w:div>
    <w:div w:id="2027094480">
      <w:bodyDiv w:val="1"/>
      <w:marLeft w:val="0"/>
      <w:marRight w:val="0"/>
      <w:marTop w:val="0"/>
      <w:marBottom w:val="0"/>
      <w:divBdr>
        <w:top w:val="none" w:sz="0" w:space="0" w:color="auto"/>
        <w:left w:val="none" w:sz="0" w:space="0" w:color="auto"/>
        <w:bottom w:val="none" w:sz="0" w:space="0" w:color="auto"/>
        <w:right w:val="none" w:sz="0" w:space="0" w:color="auto"/>
      </w:divBdr>
    </w:div>
    <w:div w:id="208105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18</Pages>
  <Words>5198</Words>
  <Characters>28073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Windows</cp:lastModifiedBy>
  <cp:revision>64</cp:revision>
  <cp:lastPrinted>2022-01-19T11:42:00Z</cp:lastPrinted>
  <dcterms:created xsi:type="dcterms:W3CDTF">2019-10-07T13:17:00Z</dcterms:created>
  <dcterms:modified xsi:type="dcterms:W3CDTF">2022-01-19T13:14:00Z</dcterms:modified>
</cp:coreProperties>
</file>